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0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 w14:paraId="72D5E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2026年医药行业名牌产品监</w:t>
      </w: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36"/>
          <w:szCs w:val="36"/>
          <w:lang w:val="en-US" w:eastAsia="zh-CN"/>
        </w:rPr>
        <w:t>督审查主要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产业</w:t>
      </w:r>
    </w:p>
    <w:p w14:paraId="6E9FC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469" w:afterLines="150" w:line="560" w:lineRule="exact"/>
        <w:jc w:val="center"/>
        <w:textAlignment w:val="auto"/>
        <w:rPr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及细分品类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6840"/>
      </w:tblGrid>
      <w:tr w14:paraId="41E53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  <w:vAlign w:val="center"/>
          </w:tcPr>
          <w:p w14:paraId="06BC7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t>产业</w:t>
            </w:r>
          </w:p>
        </w:tc>
        <w:tc>
          <w:tcPr>
            <w:tcW w:w="6840" w:type="dxa"/>
            <w:vAlign w:val="center"/>
          </w:tcPr>
          <w:p w14:paraId="35D84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t>细分品类</w:t>
            </w:r>
          </w:p>
        </w:tc>
      </w:tr>
      <w:tr w14:paraId="07B71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  <w:vAlign w:val="center"/>
          </w:tcPr>
          <w:p w14:paraId="597E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t>创新药及生物药</w:t>
            </w:r>
          </w:p>
        </w:tc>
        <w:tc>
          <w:tcPr>
            <w:tcW w:w="6840" w:type="dxa"/>
            <w:vAlign w:val="center"/>
          </w:tcPr>
          <w:p w14:paraId="57E66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t>1. 化学创新药：小分子靶向药、抗肿瘤创新药、抗感染创新药、自身免疫疾病创新药、罕见病创新药等。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t>2. 生物制品：单克隆抗体、双抗/多抗药物、ADC（抗体药物偶联物）、疫苗（灭活疫苗、mRNA疫苗、重组蛋白疫苗、腺病毒载体疫苗等）、血液制品（人血白蛋白、静注人免疫球蛋白、凝血因子类等）。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t>3. 细胞与基因治疗产品：CAR-T细胞治疗产品、TCR-T细胞治疗产品、干细胞治疗产品、基因编辑治疗产品、溶瘤病毒产品等。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t>4. 中成药及中药创新药：中药创新药、经典名方中成药、民族药、院内中药制剂等。</w:t>
            </w:r>
          </w:p>
        </w:tc>
      </w:tr>
      <w:tr w14:paraId="5CF1F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  <w:vAlign w:val="center"/>
          </w:tcPr>
          <w:p w14:paraId="313F6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t>原料药及药用关联产品</w:t>
            </w:r>
          </w:p>
        </w:tc>
        <w:tc>
          <w:tcPr>
            <w:tcW w:w="6840" w:type="dxa"/>
            <w:vAlign w:val="center"/>
          </w:tcPr>
          <w:p w14:paraId="5982E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t>1. 化学原料药：大宗化学原料药、特色原料药（GLP-1类、抗肿瘤类、抗病毒类、心血管类等）、无菌原料药、激素类原料药等。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t>2. 药用辅料：口服制剂辅料、注射剂辅料、滴眼剂辅料、药用粘合剂、药用崩解剂、药用包衣材料等。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t>3. 药用包装材料：药品直接接触包装材料（药用塑料瓶、药用玻璃管、铝箔、复合膜、胶塞等）、药品外包装印刷材料、药用干燥剂等。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t>4. 制药专用设备：药品生产设备、药品检测设备、药品灭菌设备、药品冷链储运设备等。</w:t>
            </w:r>
          </w:p>
        </w:tc>
      </w:tr>
      <w:tr w14:paraId="3DA94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  <w:vAlign w:val="center"/>
          </w:tcPr>
          <w:p w14:paraId="3D3A3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t>医疗器械</w:t>
            </w:r>
          </w:p>
        </w:tc>
        <w:tc>
          <w:tcPr>
            <w:tcW w:w="6840" w:type="dxa"/>
            <w:vAlign w:val="center"/>
          </w:tcPr>
          <w:p w14:paraId="1EF8FD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t>体外诊断试剂：分子诊断试剂、免疫诊断试剂（化学发光、酶联免疫等）、生化诊断试剂、微生物检测试剂、血型鉴定与配血试剂、即时检测（POCT）试剂等。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t>2. 高风险植入类器械：骨科植入物（关节假体、脊柱内固定系统等）、心血管植入物（心脏起搏器、冠脉支架、心脏瓣膜等）、神经外科植入物、眼科植入物（人工晶体、角膜接触镜等）、口腔科植入物（种植体、义齿等）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t>3. 医用诊疗设备：医用成像设备（CT、MRI、DR、超声诊断仪等）、手术机器人、内窥镜设备、放射治疗设备、生命监护设备、麻醉设备、呼吸支持设备等。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t>4. 通用诊疗器械：注输护理器械（注射器、输液器、留置针等）、医用敷料（医用口罩、医用防护服、创可贴、手术巾等）、物理治疗及康复器械、中医诊疗器械、医用软件（诊断类软件、医院管理类软件等）。</w:t>
            </w:r>
          </w:p>
          <w:p w14:paraId="429B38D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t>5.获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t>有关医疗器械批文的外敷治疗用品。</w:t>
            </w:r>
          </w:p>
        </w:tc>
      </w:tr>
      <w:tr w14:paraId="4A78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  <w:vAlign w:val="center"/>
          </w:tcPr>
          <w:p w14:paraId="047AA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t>特殊医学用途配方食品</w:t>
            </w:r>
          </w:p>
        </w:tc>
        <w:tc>
          <w:tcPr>
            <w:tcW w:w="6840" w:type="dxa"/>
            <w:vAlign w:val="center"/>
          </w:tcPr>
          <w:p w14:paraId="38D85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t>1. 全营养特医食品：婴幼儿全营养特医食品、1-10岁人群全营养特医食品、10岁以上人群全营养特医食品、老年适用全营养特医食品等。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t>2. 特定疾病特医食品：糖尿病适用特医食品、肿瘤适用特医食品、肾病适用特医食品、肝病适用特医食品、胃肠道吸收障碍适用特医食品、术前/术后营养支持特医食品等。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t>3. 特医营养组件：蛋白质组件、氨基酸组件、脂肪组件、碳水化合物组件、维生素矿物质组件、特殊代谢调整组件等。</w:t>
            </w:r>
          </w:p>
        </w:tc>
      </w:tr>
      <w:tr w14:paraId="47267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  <w:vAlign w:val="center"/>
          </w:tcPr>
          <w:p w14:paraId="332A3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t>医药流通与合规消费医疗产品</w:t>
            </w:r>
          </w:p>
        </w:tc>
        <w:tc>
          <w:tcPr>
            <w:tcW w:w="6840" w:type="dxa"/>
            <w:vAlign w:val="center"/>
          </w:tcPr>
          <w:p w14:paraId="7389C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t>1. 医保/集采重点品种：国家组织集中带量采购中选药品、省级集采中选药品、国家医保目录谈判准入药品、基本药物目录产品等。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t>2. 终端常用药品：非处方（OTC）药品、处方药（抗菌药物、慢病治疗药物等）、常用急救药品等。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  <w:t>3. 消费医疗合规产品：医美合规药品（肉毒素、玻尿酸、合规填充剂等）、家用医疗器械（血压计、血糖仪、制氧机、体温计等）、合规药妆类产品等。</w:t>
            </w:r>
          </w:p>
        </w:tc>
      </w:tr>
      <w:tr w14:paraId="6E29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  <w:vAlign w:val="center"/>
          </w:tcPr>
          <w:p w14:paraId="2925F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</w:t>
            </w:r>
          </w:p>
        </w:tc>
        <w:tc>
          <w:tcPr>
            <w:tcW w:w="6840" w:type="dxa"/>
            <w:vAlign w:val="top"/>
          </w:tcPr>
          <w:p w14:paraId="73E6C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根据企业申报而定。</w:t>
            </w:r>
          </w:p>
        </w:tc>
      </w:tr>
    </w:tbl>
    <w:p w14:paraId="5722EBC7">
      <w:pPr>
        <w:ind w:firstLine="560" w:firstLineChars="200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25E9A7-702B-433C-A7C6-281CC689C9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BEB16B0-ECD8-4DFA-8057-8AA7BF28CA5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9DEDBD9-C55B-45F3-B74E-D51D4CE8FBB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469672"/>
    <w:multiLevelType w:val="singleLevel"/>
    <w:tmpl w:val="CB46967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B5B1D"/>
    <w:rsid w:val="0CEC0228"/>
    <w:rsid w:val="140938E2"/>
    <w:rsid w:val="15831161"/>
    <w:rsid w:val="18B5536C"/>
    <w:rsid w:val="234B6097"/>
    <w:rsid w:val="24440B39"/>
    <w:rsid w:val="373B5B1D"/>
    <w:rsid w:val="48527770"/>
    <w:rsid w:val="4F5F45F7"/>
    <w:rsid w:val="5B2D72E2"/>
    <w:rsid w:val="64806971"/>
    <w:rsid w:val="64BF279B"/>
    <w:rsid w:val="64EA2263"/>
    <w:rsid w:val="72307D5A"/>
    <w:rsid w:val="741F4388"/>
    <w:rsid w:val="771F0ECA"/>
    <w:rsid w:val="7A69270B"/>
    <w:rsid w:val="7DDC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1194</Words>
  <Characters>1245</Characters>
  <Lines>0</Lines>
  <Paragraphs>0</Paragraphs>
  <TotalTime>110</TotalTime>
  <ScaleCrop>false</ScaleCrop>
  <LinksUpToDate>false</LinksUpToDate>
  <CharactersWithSpaces>1263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2026-02-12T02:25:00Z</dcterms:created>
  <dc:creator>省食协 孔祥州</dc:creator>
  <cp:lastModifiedBy>省食协 孔祥州</cp:lastModifiedBy>
  <cp:lastPrinted>2026-05-18T02:27:54Z</cp:lastPrinted>
  <dcterms:modified xsi:type="dcterms:W3CDTF">2026-05-18T02:51:58Z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6121902D0547483CA888519CC5896B93_13</vt:lpwstr>
  </property>
  <property fmtid="{D5CDD505-2E9C-101B-9397-08002B2CF9AE}" pid="4" name="KSOTemplateDocerSaveRecord">
    <vt:lpwstr>eyJoZGlkIjoiZTI4NWYwMjg5MTNhNGY0YjAwYWY3MTk3NDc0MDhiOWIiLCJ1c2VySWQiOiIxMTQwMTI2MDkzIn0=</vt:lpwstr>
  </property>
</Properties>
</file>