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DF6A">
      <w:pPr>
        <w:pStyle w:val="5"/>
        <w:spacing w:line="360" w:lineRule="auto"/>
        <w:jc w:val="left"/>
        <w:rPr>
          <w:rFonts w:hint="eastAsia" w:ascii="仿宋" w:hAnsi="仿宋" w:eastAsia="仿宋"/>
          <w:bCs/>
          <w:sz w:val="32"/>
          <w:szCs w:val="32"/>
        </w:rPr>
      </w:pPr>
      <w:r>
        <w:rPr>
          <w:rFonts w:hint="eastAsia" w:ascii="仿宋" w:hAnsi="仿宋" w:eastAsia="仿宋"/>
          <w:bCs/>
          <w:sz w:val="32"/>
          <w:szCs w:val="32"/>
        </w:rPr>
        <w:t>附件1-2</w:t>
      </w:r>
    </w:p>
    <w:p w14:paraId="3D0AB98B">
      <w:pPr>
        <w:pStyle w:val="5"/>
        <w:spacing w:line="360" w:lineRule="auto"/>
        <w:jc w:val="left"/>
        <w:rPr>
          <w:rFonts w:hint="eastAsia" w:ascii="仿宋" w:hAnsi="仿宋" w:eastAsia="仿宋"/>
          <w:bCs/>
          <w:sz w:val="32"/>
          <w:szCs w:val="32"/>
        </w:rPr>
      </w:pPr>
    </w:p>
    <w:p w14:paraId="1AFB8DAD">
      <w:pPr>
        <w:pStyle w:val="5"/>
        <w:tabs>
          <w:tab w:val="center" w:pos="4422"/>
        </w:tabs>
        <w:spacing w:line="360" w:lineRule="auto"/>
        <w:rPr>
          <w:rFonts w:ascii="方正小标宋简体" w:eastAsia="方正小标宋简体" w:hAnsiTheme="minorEastAsia"/>
          <w:b/>
          <w:bCs/>
          <w:color w:val="000000" w:themeColor="text1"/>
          <w:sz w:val="44"/>
          <w:szCs w:val="44"/>
        </w:rPr>
      </w:pPr>
      <w:r>
        <w:rPr>
          <w:rFonts w:ascii="仿宋" w:hAnsi="仿宋" w:eastAsia="仿宋"/>
          <w:bCs/>
          <w:color w:val="000000" w:themeColor="text1"/>
          <w:sz w:val="44"/>
          <w:szCs w:val="44"/>
        </w:rPr>
        <w:tab/>
      </w:r>
      <w:r>
        <w:rPr>
          <w:rFonts w:hint="eastAsia" w:ascii="方正小标宋简体" w:eastAsia="方正小标宋简体" w:hAnsiTheme="minorEastAsia"/>
          <w:b/>
          <w:bCs/>
          <w:color w:val="000000" w:themeColor="text1"/>
          <w:sz w:val="44"/>
          <w:szCs w:val="44"/>
        </w:rPr>
        <w:t>广东省医药行业名牌产品推荐办法</w:t>
      </w:r>
    </w:p>
    <w:p w14:paraId="4CEF2C88">
      <w:pPr>
        <w:pStyle w:val="5"/>
        <w:spacing w:line="360" w:lineRule="auto"/>
        <w:jc w:val="center"/>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（试行）</w:t>
      </w:r>
      <w:bookmarkStart w:id="0" w:name="_GoBack"/>
      <w:bookmarkEnd w:id="0"/>
    </w:p>
    <w:p w14:paraId="0721EAEF">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第一章  总则</w:t>
      </w:r>
    </w:p>
    <w:p w14:paraId="16381B4E">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第一条  </w:t>
      </w:r>
      <w:r>
        <w:rPr>
          <w:rFonts w:hint="eastAsia" w:ascii="仿宋_GB2312" w:hAnsi="仿宋" w:eastAsia="仿宋_GB2312" w:cs="宋体"/>
          <w:kern w:val="0"/>
          <w:sz w:val="32"/>
          <w:szCs w:val="32"/>
        </w:rPr>
        <w:t>为落实《国务院办公厅关于开展消费品工业“三品”专项行动 营造良好市场环境的若干意见》要求</w:t>
      </w:r>
      <w:r>
        <w:rPr>
          <w:rFonts w:hint="eastAsia" w:ascii="仿宋_GB2312" w:hAnsi="仿宋" w:eastAsia="仿宋_GB2312"/>
          <w:sz w:val="32"/>
          <w:szCs w:val="32"/>
        </w:rPr>
        <w:t>，推进实施广东省医药行业名牌发展战略，助力医药企业品牌建设，提升产品市场竞争力，推进完善药品采购机制和以市场为主导的药价形成机制，</w:t>
      </w:r>
      <w:r>
        <w:rPr>
          <w:rFonts w:hint="eastAsia" w:ascii="仿宋_GB2312" w:hAnsi="仿宋" w:eastAsia="仿宋_GB2312"/>
          <w:color w:val="000000" w:themeColor="text1"/>
          <w:sz w:val="32"/>
          <w:szCs w:val="32"/>
        </w:rPr>
        <w:t>结合我省医药行业实际情况，制定本办法</w:t>
      </w:r>
      <w:r>
        <w:rPr>
          <w:rFonts w:hint="eastAsia" w:ascii="仿宋_GB2312" w:hAnsi="仿宋" w:eastAsia="仿宋_GB2312" w:cs="宋体"/>
          <w:color w:val="000000" w:themeColor="text1"/>
          <w:kern w:val="0"/>
          <w:sz w:val="32"/>
          <w:szCs w:val="32"/>
        </w:rPr>
        <w:t>（以下简称“办法”）</w:t>
      </w:r>
      <w:r>
        <w:rPr>
          <w:rFonts w:hint="eastAsia" w:ascii="仿宋_GB2312" w:hAnsi="仿宋" w:eastAsia="仿宋_GB2312"/>
          <w:color w:val="000000" w:themeColor="text1"/>
          <w:sz w:val="32"/>
          <w:szCs w:val="32"/>
        </w:rPr>
        <w:t>。</w:t>
      </w:r>
    </w:p>
    <w:p w14:paraId="5A548C75">
      <w:pPr>
        <w:widowControl/>
        <w:spacing w:line="360" w:lineRule="auto"/>
        <w:ind w:firstLine="640"/>
        <w:jc w:val="left"/>
        <w:rPr>
          <w:rFonts w:ascii="仿宋_GB2312" w:hAnsi="仿宋" w:eastAsia="仿宋_GB2312" w:cs="宋体"/>
          <w:color w:val="000000" w:themeColor="text1"/>
          <w:kern w:val="0"/>
          <w:sz w:val="32"/>
          <w:szCs w:val="32"/>
        </w:rPr>
      </w:pPr>
      <w:r>
        <w:rPr>
          <w:rFonts w:hint="eastAsia" w:ascii="仿宋_GB2312" w:hAnsi="仿宋" w:eastAsia="仿宋_GB2312" w:cs="宋体"/>
          <w:b/>
          <w:color w:val="000000" w:themeColor="text1"/>
          <w:kern w:val="0"/>
          <w:sz w:val="32"/>
          <w:szCs w:val="32"/>
        </w:rPr>
        <w:t>第二条</w:t>
      </w:r>
      <w:r>
        <w:rPr>
          <w:rFonts w:hint="eastAsia" w:ascii="仿宋_GB2312" w:hAnsi="仿宋" w:eastAsia="仿宋_GB2312" w:cs="宋体"/>
          <w:color w:val="000000" w:themeColor="text1"/>
          <w:kern w:val="0"/>
          <w:sz w:val="32"/>
          <w:szCs w:val="32"/>
        </w:rPr>
        <w:t xml:space="preserve">  广东省医药行业名牌产品（以下简称“名牌产品”）推荐工作由广东省医药行业协会（简称“协会”）组织开展。</w:t>
      </w:r>
    </w:p>
    <w:p w14:paraId="6854CE9A">
      <w:pPr>
        <w:spacing w:line="560" w:lineRule="exact"/>
        <w:ind w:firstLine="630" w:firstLineChars="196"/>
        <w:rPr>
          <w:rFonts w:ascii="仿宋_GB2312" w:hAnsi="仿宋" w:eastAsia="仿宋_GB2312" w:cs="宋体"/>
          <w:kern w:val="0"/>
          <w:sz w:val="32"/>
          <w:szCs w:val="32"/>
        </w:rPr>
      </w:pPr>
      <w:r>
        <w:rPr>
          <w:rFonts w:hint="eastAsia" w:ascii="仿宋_GB2312" w:hAnsi="仿宋" w:eastAsia="仿宋_GB2312"/>
          <w:b/>
          <w:color w:val="000000" w:themeColor="text1"/>
          <w:sz w:val="32"/>
          <w:szCs w:val="32"/>
          <w:shd w:val="clear" w:color="auto" w:fill="FFFFFF"/>
        </w:rPr>
        <w:t>第三条</w:t>
      </w:r>
      <w:r>
        <w:rPr>
          <w:rFonts w:hint="eastAsia" w:ascii="仿宋_GB2312" w:hAnsi="仿宋" w:eastAsia="仿宋_GB2312"/>
          <w:color w:val="000000" w:themeColor="text1"/>
          <w:sz w:val="32"/>
          <w:szCs w:val="32"/>
          <w:shd w:val="clear" w:color="auto" w:fill="FFFFFF"/>
        </w:rPr>
        <w:t xml:space="preserve">  本办法适用于在</w:t>
      </w:r>
      <w:r>
        <w:rPr>
          <w:rFonts w:hint="eastAsia" w:ascii="仿宋_GB2312" w:hAnsi="仿宋" w:eastAsia="仿宋_GB2312" w:cs="宋体"/>
          <w:kern w:val="0"/>
          <w:sz w:val="32"/>
          <w:szCs w:val="32"/>
        </w:rPr>
        <w:t>广东省注册，从事药品、医疗或制药器械、医药包装材料以及医药相关科研活动的</w:t>
      </w:r>
      <w:r>
        <w:rPr>
          <w:rFonts w:hint="eastAsia" w:ascii="仿宋_GB2312" w:hAnsi="仿宋" w:eastAsia="仿宋_GB2312"/>
          <w:color w:val="000000" w:themeColor="text1"/>
          <w:sz w:val="32"/>
          <w:szCs w:val="32"/>
          <w:shd w:val="clear" w:color="auto" w:fill="FFFFFF"/>
        </w:rPr>
        <w:t>企事业单位。</w:t>
      </w:r>
    </w:p>
    <w:p w14:paraId="268F8F11">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第二章  推荐条件</w:t>
      </w:r>
    </w:p>
    <w:p w14:paraId="4E62A37F">
      <w:pPr>
        <w:widowControl/>
        <w:spacing w:line="360" w:lineRule="auto"/>
        <w:ind w:firstLine="640"/>
        <w:jc w:val="left"/>
        <w:rPr>
          <w:rFonts w:ascii="仿宋_GB2312" w:hAnsi="仿宋" w:eastAsia="仿宋_GB2312" w:cs="宋体"/>
          <w:color w:val="000000" w:themeColor="text1"/>
          <w:kern w:val="0"/>
          <w:sz w:val="32"/>
          <w:szCs w:val="32"/>
        </w:rPr>
      </w:pPr>
      <w:r>
        <w:rPr>
          <w:rFonts w:hint="eastAsia" w:ascii="仿宋_GB2312" w:hAnsi="仿宋" w:eastAsia="仿宋_GB2312" w:cs="宋体"/>
          <w:b/>
          <w:color w:val="000000" w:themeColor="text1"/>
          <w:kern w:val="0"/>
          <w:sz w:val="32"/>
          <w:szCs w:val="32"/>
        </w:rPr>
        <w:t xml:space="preserve">第四条  </w:t>
      </w:r>
      <w:r>
        <w:rPr>
          <w:rFonts w:hint="eastAsia" w:ascii="仿宋_GB2312" w:hAnsi="仿宋" w:eastAsia="仿宋_GB2312" w:cs="宋体"/>
          <w:color w:val="000000" w:themeColor="text1"/>
          <w:kern w:val="0"/>
          <w:sz w:val="32"/>
          <w:szCs w:val="32"/>
        </w:rPr>
        <w:t>本办法所规定的名牌产品是指在市场销售三年以上，经评价确认</w:t>
      </w:r>
      <w:r>
        <w:rPr>
          <w:rFonts w:hint="eastAsia" w:ascii="仿宋_GB2312" w:hAnsi="仿宋" w:eastAsia="仿宋_GB2312"/>
          <w:color w:val="000000" w:themeColor="text1"/>
          <w:sz w:val="32"/>
          <w:szCs w:val="32"/>
          <w:shd w:val="clear" w:color="auto" w:fill="FFFFFF"/>
        </w:rPr>
        <w:t>产品质量达到省内同类产品先进水平或者在国内国际同类产品中处于领先地位、市场占有率和知名度居同行业前列、用户满意程度高、具有较强市场竞争力的我省医药产品。</w:t>
      </w:r>
    </w:p>
    <w:p w14:paraId="77DA9FC0">
      <w:pPr>
        <w:widowControl/>
        <w:spacing w:line="360" w:lineRule="auto"/>
        <w:ind w:firstLine="640"/>
        <w:jc w:val="left"/>
        <w:rPr>
          <w:rFonts w:ascii="仿宋_GB2312" w:hAnsi="仿宋" w:eastAsia="仿宋_GB2312"/>
          <w:color w:val="000000" w:themeColor="text1"/>
          <w:sz w:val="32"/>
          <w:szCs w:val="32"/>
          <w:shd w:val="clear" w:color="auto" w:fill="FFFFFF"/>
        </w:rPr>
      </w:pPr>
      <w:r>
        <w:rPr>
          <w:rFonts w:hint="eastAsia" w:ascii="仿宋_GB2312" w:hAnsi="仿宋" w:eastAsia="仿宋_GB2312"/>
          <w:b/>
          <w:color w:val="000000" w:themeColor="text1"/>
          <w:sz w:val="32"/>
          <w:szCs w:val="32"/>
          <w:shd w:val="clear" w:color="auto" w:fill="FFFFFF"/>
        </w:rPr>
        <w:t>第五条</w:t>
      </w:r>
      <w:r>
        <w:rPr>
          <w:rFonts w:hint="eastAsia" w:ascii="仿宋_GB2312" w:hAnsi="仿宋" w:eastAsia="仿宋_GB2312"/>
          <w:color w:val="000000" w:themeColor="text1"/>
          <w:sz w:val="32"/>
          <w:szCs w:val="32"/>
          <w:shd w:val="clear" w:color="auto" w:fill="FFFFFF"/>
        </w:rPr>
        <w:t xml:space="preserve">  申报企业必须符合下列条件：</w:t>
      </w:r>
    </w:p>
    <w:p w14:paraId="6496C388">
      <w:pPr>
        <w:pStyle w:val="18"/>
        <w:ind w:firstLine="640"/>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（一）近三年，</w:t>
      </w:r>
      <w:r>
        <w:rPr>
          <w:rFonts w:hint="eastAsia" w:ascii="仿宋_GB2312" w:hAnsi="仿宋" w:eastAsia="仿宋_GB2312"/>
          <w:color w:val="000000" w:themeColor="text1"/>
          <w:sz w:val="32"/>
          <w:szCs w:val="32"/>
        </w:rPr>
        <w:t>企业生产经营情况良好，</w:t>
      </w:r>
      <w:r>
        <w:rPr>
          <w:rFonts w:hint="eastAsia" w:ascii="仿宋_GB2312" w:hAnsi="仿宋" w:eastAsia="仿宋_GB2312"/>
          <w:color w:val="000000" w:themeColor="text1"/>
          <w:sz w:val="32"/>
          <w:szCs w:val="32"/>
          <w:shd w:val="clear" w:color="auto" w:fill="FFFFFF"/>
        </w:rPr>
        <w:t>诚信守法，无偷税漏税行为；</w:t>
      </w:r>
    </w:p>
    <w:p w14:paraId="71019BE2">
      <w:pPr>
        <w:pStyle w:val="18"/>
        <w:ind w:firstLine="640"/>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（二）近三年，企业未发生重大</w:t>
      </w:r>
      <w:r>
        <w:rPr>
          <w:rFonts w:hint="eastAsia" w:ascii="仿宋_GB2312" w:hAnsi="仿宋" w:eastAsia="仿宋_GB2312"/>
          <w:sz w:val="32"/>
          <w:szCs w:val="32"/>
        </w:rPr>
        <w:t>产品安全事故、</w:t>
      </w:r>
      <w:r>
        <w:rPr>
          <w:rFonts w:hint="eastAsia" w:ascii="仿宋_GB2312" w:hAnsi="仿宋" w:eastAsia="仿宋_GB2312"/>
          <w:color w:val="000000" w:themeColor="text1"/>
          <w:sz w:val="32"/>
          <w:szCs w:val="32"/>
          <w:shd w:val="clear" w:color="auto" w:fill="FFFFFF"/>
        </w:rPr>
        <w:t>生产安全事故和环保违规等问题；</w:t>
      </w:r>
    </w:p>
    <w:p w14:paraId="78346B2C">
      <w:pPr>
        <w:pStyle w:val="18"/>
        <w:ind w:firstLine="640"/>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（三）近三年内申报产品在市级以上政府监管部门抽检中未出现不合格情况。</w:t>
      </w:r>
    </w:p>
    <w:p w14:paraId="5D9D90FC">
      <w:pPr>
        <w:pStyle w:val="20"/>
        <w:tabs>
          <w:tab w:val="center" w:pos="709"/>
          <w:tab w:val="clear" w:pos="4201"/>
        </w:tabs>
        <w:spacing w:line="360" w:lineRule="auto"/>
        <w:ind w:left="426" w:firstLine="320" w:firstLineChars="100"/>
        <w:jc w:val="left"/>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（四）申报产品符合《药品管理法（修订）》、《药品注册管理办法》等国家法律和相关规定要求。</w:t>
      </w:r>
    </w:p>
    <w:p w14:paraId="1BF58804">
      <w:pPr>
        <w:pStyle w:val="20"/>
        <w:tabs>
          <w:tab w:val="center" w:pos="709"/>
          <w:tab w:val="clear" w:pos="4201"/>
        </w:tabs>
        <w:spacing w:line="360" w:lineRule="auto"/>
        <w:ind w:left="426" w:firstLine="320" w:firstLineChars="100"/>
        <w:jc w:val="left"/>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（五）申报产品无知识产权纠纷。</w:t>
      </w:r>
    </w:p>
    <w:p w14:paraId="0D3BFD61">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第三章  申报材料及渠道</w:t>
      </w:r>
    </w:p>
    <w:p w14:paraId="15A97078">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第六条  </w:t>
      </w:r>
      <w:r>
        <w:rPr>
          <w:rFonts w:hint="eastAsia" w:ascii="仿宋_GB2312" w:hAnsi="仿宋" w:eastAsia="仿宋_GB2312"/>
          <w:bCs/>
          <w:color w:val="000000" w:themeColor="text1"/>
          <w:sz w:val="32"/>
          <w:szCs w:val="32"/>
        </w:rPr>
        <w:t>以自愿为原则，</w:t>
      </w:r>
      <w:r>
        <w:rPr>
          <w:rFonts w:hint="eastAsia" w:ascii="仿宋_GB2312" w:hAnsi="仿宋" w:eastAsia="仿宋_GB2312"/>
          <w:color w:val="000000" w:themeColor="text1"/>
          <w:sz w:val="32"/>
          <w:szCs w:val="32"/>
        </w:rPr>
        <w:t>申报单位可申报多个产品。</w:t>
      </w:r>
    </w:p>
    <w:p w14:paraId="51110108">
      <w:pPr>
        <w:pStyle w:val="5"/>
        <w:spacing w:line="360" w:lineRule="auto"/>
        <w:ind w:firstLine="643" w:firstLineChars="200"/>
        <w:rPr>
          <w:rFonts w:ascii="仿宋_GB2312" w:hAnsi="仿宋" w:eastAsia="仿宋_GB2312"/>
          <w:bCs/>
          <w:color w:val="000000" w:themeColor="text1"/>
          <w:sz w:val="32"/>
          <w:szCs w:val="32"/>
        </w:rPr>
      </w:pPr>
      <w:r>
        <w:rPr>
          <w:rFonts w:hint="eastAsia" w:ascii="仿宋_GB2312" w:hAnsi="仿宋" w:eastAsia="仿宋_GB2312"/>
          <w:b/>
          <w:color w:val="000000" w:themeColor="text1"/>
          <w:sz w:val="32"/>
          <w:szCs w:val="32"/>
        </w:rPr>
        <w:t>第七条</w:t>
      </w:r>
      <w:r>
        <w:rPr>
          <w:rFonts w:hint="eastAsia" w:ascii="仿宋_GB2312" w:hAnsi="仿宋" w:eastAsia="仿宋_GB2312"/>
          <w:color w:val="000000" w:themeColor="text1"/>
          <w:sz w:val="32"/>
          <w:szCs w:val="32"/>
        </w:rPr>
        <w:t xml:space="preserve">  申报单位需准备</w:t>
      </w:r>
      <w:r>
        <w:rPr>
          <w:rFonts w:hint="eastAsia" w:ascii="仿宋_GB2312" w:hAnsi="仿宋" w:eastAsia="仿宋_GB2312"/>
          <w:bCs/>
          <w:color w:val="000000" w:themeColor="text1"/>
          <w:sz w:val="32"/>
          <w:szCs w:val="32"/>
        </w:rPr>
        <w:t>纸质</w:t>
      </w:r>
      <w:r>
        <w:rPr>
          <w:rFonts w:hint="eastAsia" w:ascii="仿宋_GB2312" w:hAnsi="仿宋" w:eastAsia="仿宋_GB2312"/>
          <w:color w:val="000000" w:themeColor="text1"/>
          <w:sz w:val="32"/>
          <w:szCs w:val="32"/>
        </w:rPr>
        <w:t>、电子版</w:t>
      </w:r>
      <w:r>
        <w:rPr>
          <w:rFonts w:hint="eastAsia" w:ascii="仿宋_GB2312" w:hAnsi="仿宋" w:eastAsia="仿宋_GB2312"/>
          <w:bCs/>
          <w:color w:val="000000" w:themeColor="text1"/>
          <w:sz w:val="32"/>
          <w:szCs w:val="32"/>
        </w:rPr>
        <w:t>申报材料和产品样品</w:t>
      </w:r>
      <w:r>
        <w:rPr>
          <w:rFonts w:hint="eastAsia" w:ascii="仿宋_GB2312" w:hAnsi="仿宋" w:eastAsia="仿宋_GB2312"/>
          <w:color w:val="000000" w:themeColor="text1"/>
          <w:sz w:val="32"/>
          <w:szCs w:val="32"/>
        </w:rPr>
        <w:t>，提交</w:t>
      </w:r>
      <w:r>
        <w:rPr>
          <w:rFonts w:hint="eastAsia" w:ascii="仿宋_GB2312" w:hAnsi="仿宋" w:eastAsia="仿宋_GB2312"/>
          <w:bCs/>
          <w:color w:val="000000" w:themeColor="text1"/>
          <w:sz w:val="32"/>
          <w:szCs w:val="32"/>
        </w:rPr>
        <w:t>至协会科技质量部。</w:t>
      </w:r>
    </w:p>
    <w:p w14:paraId="1B472C56">
      <w:pPr>
        <w:pStyle w:val="5"/>
        <w:spacing w:line="360" w:lineRule="auto"/>
        <w:ind w:firstLine="640" w:firstLineChars="200"/>
        <w:rPr>
          <w:rFonts w:ascii="仿宋_GB2312" w:hAnsi="仿宋" w:eastAsia="仿宋_GB2312"/>
          <w:b/>
          <w:bCs/>
          <w:color w:val="000000" w:themeColor="text1"/>
          <w:sz w:val="32"/>
          <w:szCs w:val="32"/>
        </w:rPr>
      </w:pPr>
      <w:r>
        <w:rPr>
          <w:rFonts w:hint="eastAsia" w:ascii="仿宋_GB2312" w:hAnsi="仿宋" w:eastAsia="仿宋_GB2312"/>
          <w:color w:val="000000" w:themeColor="text1"/>
          <w:sz w:val="32"/>
          <w:szCs w:val="32"/>
        </w:rPr>
        <w:t>每申报一种产品填报一份《广东省医药行业名牌产品申报表》</w:t>
      </w:r>
      <w:r>
        <w:rPr>
          <w:rFonts w:hint="eastAsia" w:ascii="仿宋_GB2312" w:hAnsi="仿宋" w:eastAsia="仿宋_GB2312"/>
          <w:bCs/>
          <w:color w:val="000000" w:themeColor="text1"/>
          <w:sz w:val="32"/>
          <w:szCs w:val="32"/>
        </w:rPr>
        <w:t>（</w:t>
      </w:r>
      <w:r>
        <w:rPr>
          <w:rFonts w:hint="eastAsia" w:ascii="仿宋_GB2312" w:hAnsi="仿宋" w:eastAsia="仿宋_GB2312"/>
          <w:color w:val="000000" w:themeColor="text1"/>
          <w:sz w:val="32"/>
          <w:szCs w:val="32"/>
        </w:rPr>
        <w:t>一式</w:t>
      </w:r>
      <w:r>
        <w:rPr>
          <w:rFonts w:hint="eastAsia" w:ascii="仿宋_GB2312" w:hAnsi="仿宋" w:eastAsia="仿宋_GB2312"/>
          <w:color w:val="000000" w:themeColor="text1"/>
          <w:sz w:val="32"/>
          <w:szCs w:val="32"/>
          <w:lang w:val="en-US" w:eastAsia="zh-CN"/>
        </w:rPr>
        <w:t>2</w:t>
      </w:r>
      <w:r>
        <w:rPr>
          <w:rFonts w:hint="eastAsia" w:ascii="仿宋_GB2312" w:hAnsi="仿宋" w:eastAsia="仿宋_GB2312"/>
          <w:color w:val="000000" w:themeColor="text1"/>
          <w:sz w:val="32"/>
          <w:szCs w:val="32"/>
        </w:rPr>
        <w:t>份</w:t>
      </w:r>
      <w:r>
        <w:rPr>
          <w:rFonts w:hint="eastAsia" w:ascii="仿宋_GB2312" w:hAnsi="仿宋" w:eastAsia="仿宋_GB2312"/>
          <w:bCs/>
          <w:color w:val="000000" w:themeColor="text1"/>
          <w:sz w:val="32"/>
          <w:szCs w:val="32"/>
        </w:rPr>
        <w:t>）</w:t>
      </w:r>
      <w:r>
        <w:rPr>
          <w:rFonts w:hint="eastAsia" w:ascii="仿宋_GB2312" w:hAnsi="仿宋" w:eastAsia="仿宋_GB2312"/>
          <w:color w:val="000000" w:themeColor="text1"/>
          <w:sz w:val="32"/>
          <w:szCs w:val="32"/>
        </w:rPr>
        <w:t>，并</w:t>
      </w:r>
      <w:r>
        <w:rPr>
          <w:rFonts w:hint="eastAsia" w:ascii="仿宋_GB2312" w:hAnsi="仿宋" w:eastAsia="仿宋_GB2312"/>
          <w:bCs/>
          <w:color w:val="000000" w:themeColor="text1"/>
          <w:sz w:val="32"/>
          <w:szCs w:val="32"/>
        </w:rPr>
        <w:t>提供相应佐证材料。佐证</w:t>
      </w:r>
      <w:r>
        <w:rPr>
          <w:rFonts w:hint="eastAsia" w:ascii="仿宋_GB2312" w:hAnsi="仿宋" w:eastAsia="仿宋_GB2312"/>
          <w:color w:val="000000" w:themeColor="text1"/>
          <w:sz w:val="32"/>
          <w:szCs w:val="32"/>
        </w:rPr>
        <w:t>材料包括以下几方面：</w:t>
      </w:r>
    </w:p>
    <w:p w14:paraId="2BE6C792">
      <w:pPr>
        <w:pStyle w:val="20"/>
        <w:numPr>
          <w:ilvl w:val="255"/>
          <w:numId w:val="0"/>
        </w:numPr>
        <w:tabs>
          <w:tab w:val="center" w:pos="851"/>
          <w:tab w:val="clear" w:pos="4201"/>
        </w:tabs>
        <w:spacing w:line="360" w:lineRule="auto"/>
        <w:ind w:firstLine="640" w:firstLineChars="200"/>
        <w:rPr>
          <w:rFonts w:ascii="仿宋_GB2312" w:hAnsi="仿宋" w:eastAsia="仿宋_GB2312" w:cs="Courier New"/>
          <w:bCs/>
          <w:color w:val="000000" w:themeColor="text1"/>
          <w:sz w:val="32"/>
          <w:szCs w:val="32"/>
        </w:rPr>
      </w:pPr>
      <w:r>
        <w:rPr>
          <w:rFonts w:hint="eastAsia" w:ascii="仿宋_GB2312" w:hAnsi="仿宋" w:eastAsia="仿宋_GB2312"/>
          <w:color w:val="000000" w:themeColor="text1"/>
          <w:sz w:val="32"/>
          <w:szCs w:val="32"/>
        </w:rPr>
        <w:t>（一）营业执照、药品生产许可证、商标注册证；</w:t>
      </w:r>
      <w:r>
        <w:rPr>
          <w:rFonts w:hint="eastAsia" w:ascii="仿宋_GB2312" w:hAnsi="仿宋" w:eastAsia="仿宋_GB2312" w:cs="Courier New"/>
          <w:bCs/>
          <w:color w:val="000000" w:themeColor="text1"/>
          <w:sz w:val="32"/>
          <w:szCs w:val="32"/>
        </w:rPr>
        <w:t>以及其他与申报产品相关的注册或许可证书（若有）等。申报产品为委托生产的产品，还需提供受委托方营业执照、生产许可证以及委托合同或协议。</w:t>
      </w:r>
    </w:p>
    <w:p w14:paraId="123943AD">
      <w:pPr>
        <w:pStyle w:val="20"/>
        <w:numPr>
          <w:ilvl w:val="255"/>
          <w:numId w:val="0"/>
        </w:numPr>
        <w:tabs>
          <w:tab w:val="center" w:pos="851"/>
          <w:tab w:val="clear" w:pos="4201"/>
        </w:tabs>
        <w:spacing w:line="360" w:lineRule="auto"/>
        <w:ind w:firstLine="640" w:firstLineChars="200"/>
        <w:rPr>
          <w:rFonts w:ascii="仿宋_GB2312" w:hAnsi="仿宋" w:eastAsia="仿宋_GB2312" w:cs="Courier New"/>
          <w:bCs/>
          <w:color w:val="000000" w:themeColor="text1"/>
          <w:sz w:val="32"/>
          <w:szCs w:val="32"/>
        </w:rPr>
      </w:pPr>
      <w:r>
        <w:rPr>
          <w:rFonts w:hint="eastAsia" w:ascii="仿宋_GB2312" w:hAnsi="仿宋" w:eastAsia="仿宋_GB2312" w:cs="Courier New"/>
          <w:bCs/>
          <w:color w:val="000000" w:themeColor="text1"/>
          <w:sz w:val="32"/>
          <w:szCs w:val="32"/>
        </w:rPr>
        <w:t>若申报产品采用的配方、外观技术或包装设计等所有权归合作开发单位、受委托开发单位或受委托生产单位等相关方所有，或与其共有的，则需提交项目申报知情说明材料，由相关方确认对申报单位申请广东省食品行业名牌产品项目知情，并对申报资料中提供的属其所有或双方共有的配方、工艺技术或包装设计的资料、数据无异议。</w:t>
      </w:r>
    </w:p>
    <w:p w14:paraId="543F62AA">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（二）产品生产执行标准；</w:t>
      </w:r>
    </w:p>
    <w:p w14:paraId="54A1B501">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（三）产品说明书；</w:t>
      </w:r>
    </w:p>
    <w:p w14:paraId="4AC262E7">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（四）申报产品近半年内市场抽查检验报告或委托送检报告；</w:t>
      </w:r>
    </w:p>
    <w:p w14:paraId="780C3723">
      <w:pPr>
        <w:ind w:firstLine="645"/>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#（五）GMP等相关质量认证证书；</w:t>
      </w:r>
    </w:p>
    <w:p w14:paraId="244D7199">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#（六）</w:t>
      </w:r>
      <w:r>
        <w:rPr>
          <w:rFonts w:hint="eastAsia" w:ascii="仿宋_GB2312" w:hAnsi="仿宋" w:eastAsia="仿宋_GB2312"/>
          <w:color w:val="000000" w:themeColor="text1"/>
          <w:sz w:val="32"/>
          <w:szCs w:val="32"/>
          <w:shd w:val="clear" w:color="auto" w:fill="FFFFFF"/>
        </w:rPr>
        <w:t>顾客（用户）满意度调查报告或证明；</w:t>
      </w:r>
    </w:p>
    <w:p w14:paraId="7E1FB2DD">
      <w:pPr>
        <w:pStyle w:val="5"/>
        <w:spacing w:line="360" w:lineRule="auto"/>
        <w:ind w:firstLine="640" w:firstLineChars="200"/>
        <w:rPr>
          <w:rFonts w:ascii="仿宋_GB2312" w:hAnsi="仿宋" w:eastAsia="仿宋_GB2312" w:cs="Arial"/>
          <w:color w:val="000000" w:themeColor="text1"/>
          <w:sz w:val="32"/>
          <w:szCs w:val="32"/>
          <w:shd w:val="clear" w:color="auto" w:fill="FFFFFF"/>
        </w:rPr>
      </w:pPr>
      <w:r>
        <w:rPr>
          <w:rFonts w:hint="eastAsia" w:ascii="仿宋_GB2312" w:hAnsi="仿宋" w:eastAsia="仿宋_GB2312"/>
          <w:color w:val="000000" w:themeColor="text1"/>
          <w:sz w:val="32"/>
          <w:szCs w:val="32"/>
        </w:rPr>
        <w:t>#（七）获得的与该申报产品相关的其他鉴定证书或荣誉证书、证明材料</w:t>
      </w:r>
      <w:r>
        <w:rPr>
          <w:rFonts w:hint="eastAsia" w:ascii="仿宋_GB2312" w:hAnsi="仿宋" w:eastAsia="仿宋_GB2312" w:cs="Arial"/>
          <w:color w:val="000000" w:themeColor="text1"/>
          <w:sz w:val="32"/>
          <w:szCs w:val="32"/>
          <w:shd w:val="clear" w:color="auto" w:fill="FFFFFF"/>
        </w:rPr>
        <w:t>等；</w:t>
      </w:r>
    </w:p>
    <w:p w14:paraId="291174D1">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申报单位需编制资料目录，纸质材料按顺序装订成册。   （带“#”项为非必备项，若声称具备相应条件，则必须提供相应证明材料。）</w:t>
      </w:r>
    </w:p>
    <w:p w14:paraId="077FF5EC">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第八条</w:t>
      </w:r>
      <w:r>
        <w:rPr>
          <w:rFonts w:hint="eastAsia" w:ascii="仿宋_GB2312" w:hAnsi="仿宋" w:eastAsia="仿宋_GB2312"/>
          <w:color w:val="000000" w:themeColor="text1"/>
          <w:sz w:val="32"/>
          <w:szCs w:val="32"/>
        </w:rPr>
        <w:t xml:space="preserve">  产品样品需要冷藏、冷冻等特殊贮藏条件要求的，或常温保质期少于180天的，另行通知送样。若产品为大型医疗或制药器械的，则提供产品视频（附带产品解说），必要时现场验证产品。</w:t>
      </w:r>
    </w:p>
    <w:p w14:paraId="7C7DFC89">
      <w:pPr>
        <w:pStyle w:val="8"/>
        <w:shd w:val="clear" w:color="auto" w:fill="FFFFFF"/>
        <w:spacing w:before="0" w:beforeAutospacing="0" w:after="0" w:afterAutospacing="0" w:line="360" w:lineRule="auto"/>
        <w:ind w:firstLine="627" w:firstLineChars="200"/>
        <w:rPr>
          <w:rStyle w:val="16"/>
          <w:rFonts w:ascii="仿宋_GB2312" w:hAnsi="仿宋" w:eastAsia="仿宋_GB2312" w:cs="Arial"/>
          <w:color w:val="000000" w:themeColor="text1"/>
          <w:spacing w:val="-4"/>
          <w:sz w:val="32"/>
          <w:szCs w:val="32"/>
          <w:shd w:val="clear" w:color="auto" w:fill="FFFFFF"/>
        </w:rPr>
      </w:pPr>
      <w:r>
        <w:rPr>
          <w:rStyle w:val="16"/>
          <w:rFonts w:hint="eastAsia" w:ascii="仿宋_GB2312" w:hAnsi="仿宋" w:eastAsia="仿宋_GB2312" w:cs="Arial"/>
          <w:b/>
          <w:color w:val="000000" w:themeColor="text1"/>
          <w:spacing w:val="-4"/>
          <w:sz w:val="32"/>
          <w:szCs w:val="32"/>
          <w:shd w:val="clear" w:color="auto" w:fill="FFFFFF"/>
        </w:rPr>
        <w:t xml:space="preserve">第九条  </w:t>
      </w:r>
      <w:r>
        <w:rPr>
          <w:rStyle w:val="16"/>
          <w:rFonts w:hint="eastAsia" w:ascii="仿宋_GB2312" w:hAnsi="仿宋" w:eastAsia="仿宋_GB2312" w:cs="Arial"/>
          <w:color w:val="000000" w:themeColor="text1"/>
          <w:spacing w:val="-4"/>
          <w:sz w:val="32"/>
          <w:szCs w:val="32"/>
          <w:shd w:val="clear" w:color="auto" w:fill="FFFFFF"/>
        </w:rPr>
        <w:t>行业</w:t>
      </w:r>
      <w:r>
        <w:rPr>
          <w:rFonts w:hint="eastAsia" w:ascii="仿宋_GB2312" w:hAnsi="仿宋" w:eastAsia="仿宋_GB2312"/>
          <w:color w:val="000000" w:themeColor="text1"/>
          <w:sz w:val="32"/>
          <w:szCs w:val="32"/>
        </w:rPr>
        <w:t>名牌产品的申报咨询、材料受理、初审</w:t>
      </w:r>
      <w:r>
        <w:rPr>
          <w:rStyle w:val="16"/>
          <w:rFonts w:hint="eastAsia" w:ascii="仿宋_GB2312" w:hAnsi="仿宋" w:eastAsia="仿宋_GB2312" w:cs="Arial"/>
          <w:color w:val="000000" w:themeColor="text1"/>
          <w:spacing w:val="-4"/>
          <w:sz w:val="32"/>
          <w:szCs w:val="32"/>
          <w:shd w:val="clear" w:color="auto" w:fill="FFFFFF"/>
        </w:rPr>
        <w:t>等工作由</w:t>
      </w:r>
      <w:r>
        <w:rPr>
          <w:rFonts w:hint="eastAsia" w:ascii="仿宋_GB2312" w:hAnsi="仿宋" w:eastAsia="仿宋_GB2312"/>
          <w:color w:val="000000" w:themeColor="text1"/>
          <w:sz w:val="32"/>
          <w:szCs w:val="32"/>
        </w:rPr>
        <w:t>协会科技质量部归口负责。</w:t>
      </w:r>
    </w:p>
    <w:p w14:paraId="48A7D8BA">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第四章  评价与推荐</w:t>
      </w:r>
    </w:p>
    <w:p w14:paraId="6E496D17">
      <w:pPr>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第十条</w:t>
      </w:r>
      <w:r>
        <w:rPr>
          <w:rFonts w:hint="eastAsia" w:ascii="仿宋_GB2312" w:hAnsi="仿宋" w:eastAsia="仿宋_GB2312"/>
          <w:color w:val="000000" w:themeColor="text1"/>
          <w:sz w:val="32"/>
          <w:szCs w:val="32"/>
        </w:rPr>
        <w:t xml:space="preserve">  名牌产品推荐工作实行非限额评价推荐制度。坚持公平、公正及按规定程序科学评价的原则，广东省医药行业名牌产品评价、推荐不受任何组织或个人的干涉。</w:t>
      </w:r>
    </w:p>
    <w:p w14:paraId="6170F82B">
      <w:pPr>
        <w:pStyle w:val="20"/>
        <w:numPr>
          <w:ilvl w:val="255"/>
          <w:numId w:val="0"/>
        </w:numPr>
        <w:spacing w:line="360" w:lineRule="auto"/>
        <w:ind w:firstLine="643" w:firstLineChars="200"/>
        <w:rPr>
          <w:rFonts w:ascii="仿宋_GB2312" w:hAnsi="仿宋" w:eastAsia="仿宋_GB2312" w:cs="Courier New"/>
          <w:color w:val="000000" w:themeColor="text1"/>
          <w:sz w:val="32"/>
          <w:szCs w:val="32"/>
        </w:rPr>
      </w:pPr>
      <w:r>
        <w:rPr>
          <w:rFonts w:hint="eastAsia" w:ascii="仿宋_GB2312" w:hAnsi="仿宋" w:eastAsia="仿宋_GB2312"/>
          <w:b/>
          <w:color w:val="000000" w:themeColor="text1"/>
          <w:sz w:val="32"/>
          <w:szCs w:val="32"/>
        </w:rPr>
        <w:t xml:space="preserve">第十一条 </w:t>
      </w:r>
      <w:r>
        <w:rPr>
          <w:rFonts w:hint="eastAsia" w:ascii="仿宋_GB2312" w:hAnsi="仿宋" w:eastAsia="仿宋_GB2312" w:cs="Courier New"/>
          <w:color w:val="000000" w:themeColor="text1"/>
          <w:sz w:val="32"/>
          <w:szCs w:val="32"/>
        </w:rPr>
        <w:t>协会根据申报项目数量、涉及细分行业、技术领域等情况，选取3名及以上（奇数）相关专家组成评价组，并推举1名专家担任评价组长。评价组专家应具备以下条件：</w:t>
      </w:r>
    </w:p>
    <w:p w14:paraId="7398EC1A">
      <w:pPr>
        <w:pStyle w:val="5"/>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（一）具有良好的职业道德和客观、公正的专业精神；</w:t>
      </w:r>
    </w:p>
    <w:p w14:paraId="3A85B814">
      <w:pPr>
        <w:pStyle w:val="5"/>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（二）身体健康，具有从事医药相关技术评价工作的身体条件；</w:t>
      </w:r>
    </w:p>
    <w:p w14:paraId="706D5E96">
      <w:pPr>
        <w:pStyle w:val="5"/>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（三）从事医药行业生产、经营、科研等相关工作多年，专业理论知识扎实，经验丰富。</w:t>
      </w:r>
    </w:p>
    <w:p w14:paraId="009FA1A7">
      <w:pPr>
        <w:pStyle w:val="5"/>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（四）具有中级以上职称资格或企事业技术部门以上负责人。</w:t>
      </w:r>
    </w:p>
    <w:p w14:paraId="1602F658">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第十二条 </w:t>
      </w:r>
      <w:r>
        <w:rPr>
          <w:rFonts w:hint="eastAsia" w:ascii="仿宋_GB2312" w:hAnsi="仿宋" w:eastAsia="仿宋_GB2312"/>
          <w:color w:val="000000" w:themeColor="text1"/>
          <w:sz w:val="32"/>
          <w:szCs w:val="32"/>
        </w:rPr>
        <w:t>协会科技质量部对申报单位资格、守法经营情况以及申报资料的完整性、真实性、时效性、符合性等进行形式审查。符合要求的申报项目集中提交专家评价；不符合申报条件不予受理，资料不完整或错漏的则退回补充完善。若发现弄虚作假，则取消申报资格。</w:t>
      </w:r>
    </w:p>
    <w:p w14:paraId="0F94E7BB">
      <w:pPr>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第十三条 </w:t>
      </w:r>
      <w:r>
        <w:rPr>
          <w:rFonts w:hint="eastAsia" w:ascii="仿宋_GB2312" w:hAnsi="仿宋" w:eastAsia="仿宋_GB2312"/>
          <w:bCs/>
          <w:color w:val="000000" w:themeColor="text1"/>
          <w:sz w:val="32"/>
          <w:szCs w:val="32"/>
        </w:rPr>
        <w:t>专家评价</w:t>
      </w:r>
      <w:r>
        <w:rPr>
          <w:rFonts w:hint="eastAsia" w:ascii="仿宋_GB2312" w:hAnsi="仿宋" w:eastAsia="仿宋_GB2312"/>
          <w:color w:val="000000" w:themeColor="text1"/>
          <w:sz w:val="32"/>
          <w:szCs w:val="32"/>
        </w:rPr>
        <w:t>主要以评价会形式进行，必要时辅以现场核查和申报单位答辩。</w:t>
      </w:r>
    </w:p>
    <w:p w14:paraId="444BDED7">
      <w:pPr>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专家根据申报材料，主要从产品经济指标（销售情况、利润、纳税额等）、市场占有</w:t>
      </w:r>
      <w:r>
        <w:rPr>
          <w:rFonts w:hint="eastAsia" w:ascii="仿宋_GB2312" w:hAnsi="仿宋" w:eastAsia="仿宋_GB2312" w:cs="宋体"/>
          <w:color w:val="000000" w:themeColor="text1"/>
          <w:kern w:val="0"/>
          <w:sz w:val="32"/>
          <w:szCs w:val="32"/>
        </w:rPr>
        <w:t>率、品牌知名度、市场营销策略、质量水平以及发展前景等方面，进行综合评价。</w:t>
      </w:r>
    </w:p>
    <w:p w14:paraId="72C8B0A1">
      <w:pPr>
        <w:pStyle w:val="20"/>
        <w:spacing w:beforeLines="50" w:afterLines="50" w:line="360" w:lineRule="auto"/>
        <w:ind w:firstLine="643"/>
        <w:rPr>
          <w:rFonts w:ascii="仿宋_GB2312" w:hAnsi="仿宋" w:eastAsia="仿宋_GB2312"/>
          <w:sz w:val="32"/>
          <w:szCs w:val="32"/>
        </w:rPr>
      </w:pPr>
      <w:r>
        <w:rPr>
          <w:rStyle w:val="13"/>
          <w:rFonts w:hint="eastAsia" w:ascii="仿宋_GB2312" w:hAnsi="仿宋" w:eastAsia="仿宋_GB2312"/>
          <w:b/>
          <w:color w:val="000000" w:themeColor="text1"/>
          <w:sz w:val="32"/>
          <w:szCs w:val="32"/>
        </w:rPr>
        <w:t>第十四条</w:t>
      </w:r>
      <w:r>
        <w:rPr>
          <w:rFonts w:hint="eastAsia" w:ascii="仿宋_GB2312" w:hAnsi="仿宋" w:eastAsia="仿宋_GB2312"/>
          <w:color w:val="000000" w:themeColor="text1"/>
          <w:sz w:val="32"/>
          <w:szCs w:val="32"/>
        </w:rPr>
        <w:t xml:space="preserve"> 专家评价结果需进行社会公示7天，接受社会监督</w:t>
      </w:r>
      <w:r>
        <w:rPr>
          <w:rFonts w:hint="eastAsia" w:ascii="仿宋_GB2312" w:hAnsi="仿宋" w:eastAsia="仿宋_GB2312"/>
          <w:sz w:val="32"/>
          <w:szCs w:val="32"/>
        </w:rPr>
        <w:t>。</w:t>
      </w:r>
    </w:p>
    <w:p w14:paraId="6852C1CF">
      <w:pPr>
        <w:pStyle w:val="20"/>
        <w:spacing w:line="360" w:lineRule="auto"/>
        <w:ind w:firstLine="643"/>
        <w:rPr>
          <w:rFonts w:ascii="仿宋_GB2312" w:hAnsi="仿宋" w:eastAsia="仿宋_GB2312"/>
          <w:color w:val="000000" w:themeColor="text1"/>
          <w:sz w:val="32"/>
          <w:szCs w:val="32"/>
        </w:rPr>
      </w:pPr>
      <w:r>
        <w:rPr>
          <w:rFonts w:hint="eastAsia" w:ascii="仿宋_GB2312" w:hAnsi="仿宋" w:eastAsia="仿宋_GB2312"/>
          <w:b/>
          <w:bCs/>
          <w:sz w:val="32"/>
          <w:szCs w:val="32"/>
        </w:rPr>
        <w:t xml:space="preserve">第十五条 </w:t>
      </w:r>
      <w:r>
        <w:rPr>
          <w:rFonts w:hint="eastAsia" w:ascii="仿宋_GB2312" w:hAnsi="仿宋" w:eastAsia="仿宋_GB2312"/>
          <w:color w:val="000000" w:themeColor="text1"/>
          <w:sz w:val="32"/>
          <w:szCs w:val="32"/>
        </w:rPr>
        <w:t>公示期内，省食品医药行业纪委办公室接受来自社会的实名书面异议。自接收到申述或异议材料之日起10个工作日内，纪委办公室督促协会科技质量部对异议材料进行调查核实，并提交原评价组复议裁决。</w:t>
      </w:r>
    </w:p>
    <w:p w14:paraId="578391F1">
      <w:pPr>
        <w:pStyle w:val="20"/>
        <w:spacing w:line="360" w:lineRule="auto"/>
        <w:ind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评价机构在接收到异议之日起20个工作日内将异议裁决结果书面通知当事人。</w:t>
      </w:r>
    </w:p>
    <w:p w14:paraId="3D483ED4">
      <w:pPr>
        <w:pStyle w:val="20"/>
        <w:spacing w:line="360" w:lineRule="auto"/>
        <w:ind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对非实名提出的异议申请，监督机构不予受理。</w:t>
      </w:r>
    </w:p>
    <w:p w14:paraId="2784E6C7">
      <w:pPr>
        <w:pStyle w:val="20"/>
        <w:numPr>
          <w:ilvl w:val="255"/>
          <w:numId w:val="0"/>
        </w:numPr>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第十六条 </w:t>
      </w:r>
      <w:r>
        <w:rPr>
          <w:rFonts w:hint="eastAsia" w:ascii="仿宋_GB2312" w:hAnsi="仿宋" w:eastAsia="仿宋_GB2312"/>
          <w:color w:val="000000" w:themeColor="text1"/>
          <w:sz w:val="32"/>
          <w:szCs w:val="32"/>
        </w:rPr>
        <w:t>公示结束，协会审定评价结果（含异议裁决结论）后，发布年度广东省医药行业名牌产品通告。</w:t>
      </w:r>
    </w:p>
    <w:p w14:paraId="26F1BFBB">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第十七条 </w:t>
      </w:r>
      <w:r>
        <w:rPr>
          <w:rFonts w:hint="eastAsia" w:ascii="仿宋_GB2312" w:hAnsi="仿宋" w:eastAsia="仿宋_GB2312"/>
          <w:color w:val="000000" w:themeColor="text1"/>
          <w:sz w:val="32"/>
          <w:szCs w:val="32"/>
        </w:rPr>
        <w:t>协会向</w:t>
      </w:r>
      <w:r>
        <w:rPr>
          <w:rStyle w:val="13"/>
          <w:rFonts w:hint="eastAsia" w:ascii="仿宋_GB2312" w:hAnsi="仿宋" w:eastAsia="仿宋_GB2312"/>
          <w:color w:val="000000" w:themeColor="text1"/>
          <w:sz w:val="32"/>
          <w:szCs w:val="32"/>
        </w:rPr>
        <w:t>获评</w:t>
      </w:r>
      <w:r>
        <w:rPr>
          <w:rFonts w:hint="eastAsia" w:ascii="仿宋_GB2312" w:hAnsi="仿宋" w:eastAsia="仿宋_GB2312"/>
          <w:color w:val="000000" w:themeColor="text1"/>
          <w:sz w:val="32"/>
          <w:szCs w:val="32"/>
        </w:rPr>
        <w:t>单位</w:t>
      </w:r>
      <w:r>
        <w:rPr>
          <w:rStyle w:val="13"/>
          <w:rFonts w:hint="eastAsia" w:ascii="仿宋_GB2312" w:hAnsi="仿宋" w:eastAsia="仿宋_GB2312"/>
          <w:color w:val="000000" w:themeColor="text1"/>
          <w:sz w:val="32"/>
          <w:szCs w:val="32"/>
        </w:rPr>
        <w:t>颁发</w:t>
      </w:r>
      <w:r>
        <w:rPr>
          <w:rFonts w:hint="eastAsia" w:ascii="仿宋_GB2312" w:hAnsi="仿宋" w:eastAsia="仿宋_GB2312"/>
          <w:color w:val="000000" w:themeColor="text1"/>
          <w:sz w:val="32"/>
          <w:szCs w:val="32"/>
        </w:rPr>
        <w:t>“广东省医药行业名牌产品”</w:t>
      </w:r>
      <w:r>
        <w:rPr>
          <w:rStyle w:val="13"/>
          <w:rFonts w:hint="eastAsia" w:ascii="仿宋_GB2312" w:hAnsi="仿宋" w:eastAsia="仿宋_GB2312"/>
          <w:color w:val="000000" w:themeColor="text1"/>
          <w:sz w:val="32"/>
          <w:szCs w:val="32"/>
        </w:rPr>
        <w:t>称号牌匾和证书，并进行宣传推广</w:t>
      </w:r>
      <w:r>
        <w:rPr>
          <w:rFonts w:hint="eastAsia" w:ascii="仿宋_GB2312" w:hAnsi="仿宋" w:eastAsia="仿宋_GB2312"/>
          <w:color w:val="000000" w:themeColor="text1"/>
          <w:sz w:val="32"/>
          <w:szCs w:val="32"/>
        </w:rPr>
        <w:t>。</w:t>
      </w:r>
    </w:p>
    <w:p w14:paraId="21AF2DAF">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第十八条 </w:t>
      </w:r>
      <w:r>
        <w:rPr>
          <w:rFonts w:hint="eastAsia" w:ascii="仿宋_GB2312" w:hAnsi="仿宋" w:eastAsia="仿宋_GB2312"/>
          <w:color w:val="000000" w:themeColor="text1"/>
          <w:sz w:val="32"/>
          <w:szCs w:val="32"/>
        </w:rPr>
        <w:t>“广东省医药行业名牌产品”称号有效期三年。有效期满前6个月内，按本办法申请延展评价。有效期满未申请续展或续展评价未通过，则撤销称号。</w:t>
      </w:r>
    </w:p>
    <w:p w14:paraId="212B7A85">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第五章  异议处理</w:t>
      </w:r>
    </w:p>
    <w:p w14:paraId="297668D7">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第十九条</w:t>
      </w:r>
      <w:r>
        <w:rPr>
          <w:rFonts w:hint="eastAsia" w:ascii="仿宋_GB2312" w:hAnsi="仿宋" w:eastAsia="仿宋_GB2312"/>
          <w:color w:val="000000" w:themeColor="text1"/>
          <w:sz w:val="32"/>
          <w:szCs w:val="32"/>
        </w:rPr>
        <w:t xml:space="preserve"> 对已公布的名牌产品，自公布之日起一周内为异议期。如有异议，则以书面形式上报协会裁决。超过异议期提出异议的，一般不予受理（弄虚作假、剽窃成果或有原则性错误的除外）。</w:t>
      </w:r>
    </w:p>
    <w:p w14:paraId="3AAB0D32">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第二十条</w:t>
      </w:r>
      <w:r>
        <w:rPr>
          <w:rFonts w:hint="eastAsia" w:ascii="仿宋_GB2312" w:hAnsi="仿宋" w:eastAsia="仿宋_GB2312"/>
          <w:color w:val="000000" w:themeColor="text1"/>
          <w:sz w:val="32"/>
          <w:szCs w:val="32"/>
        </w:rPr>
        <w:t xml:space="preserve"> 除上述规定外，有下列情形之一的，协会可以暂停或者撤销广东省医药行业名牌产品称号，并通过协会网站（南方食品医药网）公告：</w:t>
      </w:r>
    </w:p>
    <w:p w14:paraId="402BAF60">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（一）产品质量下降，消费者反映强烈的；</w:t>
      </w:r>
    </w:p>
    <w:p w14:paraId="18D8A37F">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（二）发生重大质量事故或在政府监管部门抽查中发现不合格的；</w:t>
      </w:r>
    </w:p>
    <w:p w14:paraId="70F9E8CC">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（三）质量保证体系运行出现重大问题的；</w:t>
      </w:r>
    </w:p>
    <w:p w14:paraId="167D7E93">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（四）严重违反法律、法规、规章规定的；</w:t>
      </w:r>
    </w:p>
    <w:p w14:paraId="5AB418A1">
      <w:pPr>
        <w:pStyle w:val="5"/>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（五）弄虚作假骗取广东省医药行业名牌产品称号的。</w:t>
      </w:r>
    </w:p>
    <w:p w14:paraId="18F36279">
      <w:pPr>
        <w:pStyle w:val="5"/>
        <w:spacing w:beforeLines="50" w:afterLines="50" w:line="36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第六章  附   则</w:t>
      </w:r>
    </w:p>
    <w:p w14:paraId="52CE4EA8">
      <w:pPr>
        <w:spacing w:line="360" w:lineRule="auto"/>
        <w:ind w:firstLine="630" w:firstLineChars="196"/>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第二十一条 </w:t>
      </w:r>
      <w:r>
        <w:rPr>
          <w:rFonts w:hint="eastAsia" w:ascii="仿宋_GB2312" w:hAnsi="仿宋" w:eastAsia="仿宋_GB2312"/>
          <w:color w:val="000000" w:themeColor="text1"/>
          <w:sz w:val="32"/>
        </w:rPr>
        <w:t>协会及其相关人员和评价专</w:t>
      </w:r>
      <w:r>
        <w:rPr>
          <w:rFonts w:hint="eastAsia" w:ascii="仿宋_GB2312" w:hAnsi="仿宋" w:eastAsia="仿宋_GB2312"/>
          <w:color w:val="000000" w:themeColor="text1"/>
          <w:sz w:val="32"/>
          <w:szCs w:val="32"/>
        </w:rPr>
        <w:t>家应严格遵守以下工作纪律：</w:t>
      </w:r>
    </w:p>
    <w:p w14:paraId="2B640DA2">
      <w:pPr>
        <w:spacing w:line="360" w:lineRule="auto"/>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（一）严格遵守保密纪律，不泄露申报单位资料、专家组成员信息、评价情况等。不对外接受有关评价情况的查询。</w:t>
      </w:r>
    </w:p>
    <w:p w14:paraId="52B58B75">
      <w:pPr>
        <w:spacing w:line="360" w:lineRule="auto"/>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（二）准时参加评价会议，并按程序进行评价工作。</w:t>
      </w:r>
    </w:p>
    <w:p w14:paraId="6B8082C0">
      <w:pPr>
        <w:spacing w:line="360" w:lineRule="auto"/>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（三）坚持客观、公正、准确的评价原则，认真履行职责，不得徇私、放宽标准以及出现其他有碍公正评价的行为。</w:t>
      </w:r>
    </w:p>
    <w:p w14:paraId="0F5FF11F">
      <w:pPr>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shd w:val="clear" w:color="auto" w:fill="FFFFFF"/>
        </w:rPr>
        <w:t>（四）与申报企业有直接关系的专家应回避。</w:t>
      </w:r>
    </w:p>
    <w:p w14:paraId="3969F1DE">
      <w:pPr>
        <w:spacing w:line="360" w:lineRule="auto"/>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（五）自觉接受监督。</w:t>
      </w:r>
    </w:p>
    <w:p w14:paraId="2049B180">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第二十二条  </w:t>
      </w:r>
      <w:r>
        <w:rPr>
          <w:rFonts w:hint="eastAsia" w:ascii="仿宋_GB2312" w:hAnsi="仿宋" w:eastAsia="仿宋_GB2312"/>
          <w:sz w:val="32"/>
          <w:szCs w:val="32"/>
        </w:rPr>
        <w:t>省食品医药行业纪委办公室</w:t>
      </w:r>
      <w:r>
        <w:rPr>
          <w:rFonts w:hint="eastAsia" w:ascii="仿宋_GB2312" w:hAnsi="仿宋" w:eastAsia="仿宋_GB2312"/>
          <w:color w:val="000000" w:themeColor="text1"/>
          <w:sz w:val="32"/>
          <w:szCs w:val="32"/>
        </w:rPr>
        <w:t>负责推荐工作全过程的监督，确保合法合规。</w:t>
      </w:r>
    </w:p>
    <w:p w14:paraId="742EF3C3">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第二十三条  </w:t>
      </w:r>
      <w:r>
        <w:rPr>
          <w:rFonts w:hint="eastAsia" w:ascii="仿宋_GB2312" w:hAnsi="仿宋" w:eastAsia="仿宋_GB2312"/>
          <w:color w:val="000000" w:themeColor="text1"/>
          <w:sz w:val="32"/>
          <w:szCs w:val="32"/>
        </w:rPr>
        <w:t>本办法由广东省医药行业协会负责解释。</w:t>
      </w:r>
    </w:p>
    <w:p w14:paraId="1F2BCD1E">
      <w:pPr>
        <w:pStyle w:val="5"/>
        <w:spacing w:line="360" w:lineRule="auto"/>
        <w:ind w:firstLine="643" w:firstLineChars="200"/>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第二十四条  </w:t>
      </w:r>
      <w:r>
        <w:rPr>
          <w:rFonts w:hint="eastAsia" w:ascii="仿宋_GB2312" w:hAnsi="仿宋" w:eastAsia="仿宋_GB2312"/>
          <w:color w:val="000000" w:themeColor="text1"/>
          <w:sz w:val="32"/>
          <w:szCs w:val="32"/>
        </w:rPr>
        <w:t>本办法自发布之日起实施。</w:t>
      </w: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B2E50F-FBE3-4195-B976-D438F1BB8CEA}"/>
  </w:font>
  <w:font w:name="黑体">
    <w:panose1 w:val="02010609060101010101"/>
    <w:charset w:val="86"/>
    <w:family w:val="auto"/>
    <w:pitch w:val="default"/>
    <w:sig w:usb0="800002BF" w:usb1="38CF7CFA" w:usb2="00000016" w:usb3="00000000" w:csb0="00040001" w:csb1="00000000"/>
    <w:embedRegular r:id="rId2" w:fontKey="{726A50F0-B3A3-42B3-BCC4-0B3894DC752B}"/>
  </w:font>
  <w:font w:name="Courier New">
    <w:panose1 w:val="02070309020205020404"/>
    <w:charset w:val="01"/>
    <w:family w:val="modern"/>
    <w:pitch w:val="default"/>
    <w:sig w:usb0="E0002EFF" w:usb1="C0007843" w:usb2="00000009" w:usb3="00000000" w:csb0="400001FF" w:csb1="FFFF0000"/>
    <w:embedRegular r:id="rId3" w:fontKey="{479D830E-514C-4C4E-9D18-2A52BA43D3E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575E5811-76F9-46F6-AA79-1DC374DC20EA}"/>
  </w:font>
  <w:font w:name="方正小标宋简体">
    <w:panose1 w:val="02000000000000000000"/>
    <w:charset w:val="86"/>
    <w:family w:val="script"/>
    <w:pitch w:val="default"/>
    <w:sig w:usb0="00000001" w:usb1="080E0000" w:usb2="00000000" w:usb3="00000000" w:csb0="00040000" w:csb1="00000000"/>
    <w:embedRegular r:id="rId5" w:fontKey="{D23F989F-71EE-4280-9C83-2C1F32E86251}"/>
  </w:font>
  <w:font w:name="仿宋_GB2312">
    <w:panose1 w:val="02010609030101010101"/>
    <w:charset w:val="86"/>
    <w:family w:val="modern"/>
    <w:pitch w:val="default"/>
    <w:sig w:usb0="00000001" w:usb1="080E0000" w:usb2="00000000" w:usb3="00000000" w:csb0="00040000" w:csb1="00000000"/>
    <w:embedRegular r:id="rId6" w:fontKey="{1115B541-A12C-4041-8212-3AFD0C5E13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58E5">
    <w:pPr>
      <w:pStyle w:val="6"/>
      <w:jc w:val="center"/>
    </w:pPr>
    <w:r>
      <w:fldChar w:fldCharType="begin"/>
    </w:r>
    <w:r>
      <w:instrText xml:space="preserve"> PAGE   \* MERGEFORMAT </w:instrText>
    </w:r>
    <w:r>
      <w:fldChar w:fldCharType="separate"/>
    </w:r>
    <w:r>
      <w:rPr>
        <w:lang w:val="zh-CN"/>
      </w:rPr>
      <w:t>6</w:t>
    </w:r>
    <w:r>
      <w:rPr>
        <w:lang w:val="zh-CN"/>
      </w:rPr>
      <w:fldChar w:fldCharType="end"/>
    </w:r>
  </w:p>
  <w:p w14:paraId="6C84C31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3ZTkzY2M2MTA5NTMwZDA0MmIyMTIzMGIzNWI3NmUifQ=="/>
  </w:docVars>
  <w:rsids>
    <w:rsidRoot w:val="00594BFA"/>
    <w:rsid w:val="00002171"/>
    <w:rsid w:val="0002053E"/>
    <w:rsid w:val="00021D2B"/>
    <w:rsid w:val="00032FA7"/>
    <w:rsid w:val="000361CE"/>
    <w:rsid w:val="00047839"/>
    <w:rsid w:val="000478DA"/>
    <w:rsid w:val="000504BD"/>
    <w:rsid w:val="000554C5"/>
    <w:rsid w:val="00056846"/>
    <w:rsid w:val="000617D8"/>
    <w:rsid w:val="000635D7"/>
    <w:rsid w:val="00074716"/>
    <w:rsid w:val="00076307"/>
    <w:rsid w:val="000875CD"/>
    <w:rsid w:val="00093D8C"/>
    <w:rsid w:val="00096F07"/>
    <w:rsid w:val="000A0AD6"/>
    <w:rsid w:val="000B14CD"/>
    <w:rsid w:val="000C534E"/>
    <w:rsid w:val="000C67B1"/>
    <w:rsid w:val="000D3442"/>
    <w:rsid w:val="000E67DF"/>
    <w:rsid w:val="000F1F30"/>
    <w:rsid w:val="001042A8"/>
    <w:rsid w:val="00110D54"/>
    <w:rsid w:val="0011459D"/>
    <w:rsid w:val="00126FAC"/>
    <w:rsid w:val="0013085D"/>
    <w:rsid w:val="001316CE"/>
    <w:rsid w:val="0013483E"/>
    <w:rsid w:val="00135608"/>
    <w:rsid w:val="00137429"/>
    <w:rsid w:val="0014062D"/>
    <w:rsid w:val="00150276"/>
    <w:rsid w:val="00154AC2"/>
    <w:rsid w:val="001562FB"/>
    <w:rsid w:val="001640DB"/>
    <w:rsid w:val="00167C3E"/>
    <w:rsid w:val="001720E4"/>
    <w:rsid w:val="001739D2"/>
    <w:rsid w:val="00184F17"/>
    <w:rsid w:val="001A6491"/>
    <w:rsid w:val="001B326B"/>
    <w:rsid w:val="001B4BB2"/>
    <w:rsid w:val="001C0B3F"/>
    <w:rsid w:val="001C0DB9"/>
    <w:rsid w:val="001C6292"/>
    <w:rsid w:val="001D0982"/>
    <w:rsid w:val="001F23E3"/>
    <w:rsid w:val="001F6851"/>
    <w:rsid w:val="00201AEF"/>
    <w:rsid w:val="0020522F"/>
    <w:rsid w:val="00207B71"/>
    <w:rsid w:val="00214728"/>
    <w:rsid w:val="00226CC0"/>
    <w:rsid w:val="002305F8"/>
    <w:rsid w:val="002345FC"/>
    <w:rsid w:val="0025584A"/>
    <w:rsid w:val="00265A9F"/>
    <w:rsid w:val="0027639D"/>
    <w:rsid w:val="00293AFB"/>
    <w:rsid w:val="0029500F"/>
    <w:rsid w:val="0029519C"/>
    <w:rsid w:val="002968FA"/>
    <w:rsid w:val="002A79B2"/>
    <w:rsid w:val="002C360B"/>
    <w:rsid w:val="002C3D34"/>
    <w:rsid w:val="002D27D8"/>
    <w:rsid w:val="002D50BB"/>
    <w:rsid w:val="002F23EF"/>
    <w:rsid w:val="00315253"/>
    <w:rsid w:val="00325FBD"/>
    <w:rsid w:val="0033697A"/>
    <w:rsid w:val="0033714E"/>
    <w:rsid w:val="0037015E"/>
    <w:rsid w:val="003731F3"/>
    <w:rsid w:val="003804A4"/>
    <w:rsid w:val="003818BA"/>
    <w:rsid w:val="00385A5B"/>
    <w:rsid w:val="00395D0D"/>
    <w:rsid w:val="003968C3"/>
    <w:rsid w:val="003A018F"/>
    <w:rsid w:val="003A2427"/>
    <w:rsid w:val="003A4786"/>
    <w:rsid w:val="003A5807"/>
    <w:rsid w:val="003B79C7"/>
    <w:rsid w:val="003C25A0"/>
    <w:rsid w:val="003C3FD2"/>
    <w:rsid w:val="003D0050"/>
    <w:rsid w:val="003D5BD3"/>
    <w:rsid w:val="003D6B8F"/>
    <w:rsid w:val="003F23E4"/>
    <w:rsid w:val="003F2669"/>
    <w:rsid w:val="003F55A8"/>
    <w:rsid w:val="003F7879"/>
    <w:rsid w:val="00403982"/>
    <w:rsid w:val="00412FBC"/>
    <w:rsid w:val="004203DF"/>
    <w:rsid w:val="004300F3"/>
    <w:rsid w:val="00434CA8"/>
    <w:rsid w:val="0044797E"/>
    <w:rsid w:val="00451419"/>
    <w:rsid w:val="00460D19"/>
    <w:rsid w:val="004722A9"/>
    <w:rsid w:val="0048058D"/>
    <w:rsid w:val="0049061C"/>
    <w:rsid w:val="004930A6"/>
    <w:rsid w:val="0049453E"/>
    <w:rsid w:val="004C0624"/>
    <w:rsid w:val="004C1406"/>
    <w:rsid w:val="004C14DE"/>
    <w:rsid w:val="004C363F"/>
    <w:rsid w:val="004C7F5A"/>
    <w:rsid w:val="004D0947"/>
    <w:rsid w:val="004D4307"/>
    <w:rsid w:val="004F7574"/>
    <w:rsid w:val="00504346"/>
    <w:rsid w:val="005119E6"/>
    <w:rsid w:val="0051521D"/>
    <w:rsid w:val="0051550D"/>
    <w:rsid w:val="005251DF"/>
    <w:rsid w:val="00544B7E"/>
    <w:rsid w:val="005468F9"/>
    <w:rsid w:val="00546AC0"/>
    <w:rsid w:val="00560188"/>
    <w:rsid w:val="00562AFE"/>
    <w:rsid w:val="00565EC5"/>
    <w:rsid w:val="0057013A"/>
    <w:rsid w:val="0057225F"/>
    <w:rsid w:val="0057480F"/>
    <w:rsid w:val="00580104"/>
    <w:rsid w:val="005802A7"/>
    <w:rsid w:val="00582E2C"/>
    <w:rsid w:val="00583A66"/>
    <w:rsid w:val="0059288A"/>
    <w:rsid w:val="00594BAC"/>
    <w:rsid w:val="00594BFA"/>
    <w:rsid w:val="00595FC1"/>
    <w:rsid w:val="00595FE6"/>
    <w:rsid w:val="005A5D56"/>
    <w:rsid w:val="005A78DA"/>
    <w:rsid w:val="005C75EF"/>
    <w:rsid w:val="005E4F91"/>
    <w:rsid w:val="005F0E2F"/>
    <w:rsid w:val="005F4D76"/>
    <w:rsid w:val="005F5698"/>
    <w:rsid w:val="005F5AF9"/>
    <w:rsid w:val="005F5B6E"/>
    <w:rsid w:val="00606D22"/>
    <w:rsid w:val="00612F1D"/>
    <w:rsid w:val="006161A8"/>
    <w:rsid w:val="006230EE"/>
    <w:rsid w:val="00624AFF"/>
    <w:rsid w:val="00632A93"/>
    <w:rsid w:val="00640653"/>
    <w:rsid w:val="00641091"/>
    <w:rsid w:val="00641269"/>
    <w:rsid w:val="00641FD6"/>
    <w:rsid w:val="00646224"/>
    <w:rsid w:val="00647CF5"/>
    <w:rsid w:val="006539F5"/>
    <w:rsid w:val="00682D98"/>
    <w:rsid w:val="006832E0"/>
    <w:rsid w:val="00685482"/>
    <w:rsid w:val="00687F5F"/>
    <w:rsid w:val="00690023"/>
    <w:rsid w:val="006A2774"/>
    <w:rsid w:val="006A537F"/>
    <w:rsid w:val="006A7048"/>
    <w:rsid w:val="006B3565"/>
    <w:rsid w:val="006B4E29"/>
    <w:rsid w:val="006C3D9C"/>
    <w:rsid w:val="006C782F"/>
    <w:rsid w:val="006D5143"/>
    <w:rsid w:val="006E48F3"/>
    <w:rsid w:val="006E73D3"/>
    <w:rsid w:val="006F4731"/>
    <w:rsid w:val="006F57CE"/>
    <w:rsid w:val="006F5BD5"/>
    <w:rsid w:val="0070420E"/>
    <w:rsid w:val="007048DE"/>
    <w:rsid w:val="00705575"/>
    <w:rsid w:val="00714F44"/>
    <w:rsid w:val="007157AD"/>
    <w:rsid w:val="0072670F"/>
    <w:rsid w:val="007345BE"/>
    <w:rsid w:val="00736DA1"/>
    <w:rsid w:val="00737CAA"/>
    <w:rsid w:val="00740048"/>
    <w:rsid w:val="00741F37"/>
    <w:rsid w:val="00770F3F"/>
    <w:rsid w:val="007726AF"/>
    <w:rsid w:val="0077436B"/>
    <w:rsid w:val="007764EC"/>
    <w:rsid w:val="007840FB"/>
    <w:rsid w:val="00791604"/>
    <w:rsid w:val="007B1038"/>
    <w:rsid w:val="007B2278"/>
    <w:rsid w:val="007B7FD1"/>
    <w:rsid w:val="007D4B46"/>
    <w:rsid w:val="007D7C84"/>
    <w:rsid w:val="007F0FF2"/>
    <w:rsid w:val="007F1FBF"/>
    <w:rsid w:val="007F24DD"/>
    <w:rsid w:val="007F4EAC"/>
    <w:rsid w:val="007F744B"/>
    <w:rsid w:val="00801B17"/>
    <w:rsid w:val="00817BED"/>
    <w:rsid w:val="00822273"/>
    <w:rsid w:val="00823FC1"/>
    <w:rsid w:val="008302A3"/>
    <w:rsid w:val="0083147F"/>
    <w:rsid w:val="00833D73"/>
    <w:rsid w:val="00835A6E"/>
    <w:rsid w:val="00835D6B"/>
    <w:rsid w:val="00845AF9"/>
    <w:rsid w:val="008652DA"/>
    <w:rsid w:val="008838C4"/>
    <w:rsid w:val="008907DD"/>
    <w:rsid w:val="008C75D5"/>
    <w:rsid w:val="008D6163"/>
    <w:rsid w:val="008E3B4E"/>
    <w:rsid w:val="008E681C"/>
    <w:rsid w:val="008F3FDC"/>
    <w:rsid w:val="009018CB"/>
    <w:rsid w:val="00903B2C"/>
    <w:rsid w:val="00907978"/>
    <w:rsid w:val="009127B8"/>
    <w:rsid w:val="0093345B"/>
    <w:rsid w:val="00934F50"/>
    <w:rsid w:val="00936267"/>
    <w:rsid w:val="009417A9"/>
    <w:rsid w:val="00963335"/>
    <w:rsid w:val="0097694B"/>
    <w:rsid w:val="009922F2"/>
    <w:rsid w:val="00992E89"/>
    <w:rsid w:val="009B571A"/>
    <w:rsid w:val="009C6A05"/>
    <w:rsid w:val="009D102C"/>
    <w:rsid w:val="009D3123"/>
    <w:rsid w:val="009D6BB8"/>
    <w:rsid w:val="009E501A"/>
    <w:rsid w:val="009E7890"/>
    <w:rsid w:val="009F03E8"/>
    <w:rsid w:val="009F5421"/>
    <w:rsid w:val="00A1411E"/>
    <w:rsid w:val="00A20A3D"/>
    <w:rsid w:val="00A212DB"/>
    <w:rsid w:val="00A3090C"/>
    <w:rsid w:val="00A30DCA"/>
    <w:rsid w:val="00A30FEA"/>
    <w:rsid w:val="00A3724D"/>
    <w:rsid w:val="00A40559"/>
    <w:rsid w:val="00A40D5B"/>
    <w:rsid w:val="00A456D5"/>
    <w:rsid w:val="00A50298"/>
    <w:rsid w:val="00A51393"/>
    <w:rsid w:val="00A51FF7"/>
    <w:rsid w:val="00A547F0"/>
    <w:rsid w:val="00A5550D"/>
    <w:rsid w:val="00A621B6"/>
    <w:rsid w:val="00A659B2"/>
    <w:rsid w:val="00A70C9C"/>
    <w:rsid w:val="00A7232B"/>
    <w:rsid w:val="00A768DC"/>
    <w:rsid w:val="00A8325B"/>
    <w:rsid w:val="00A946CA"/>
    <w:rsid w:val="00AB0F90"/>
    <w:rsid w:val="00AB2206"/>
    <w:rsid w:val="00AB4FE6"/>
    <w:rsid w:val="00AB5086"/>
    <w:rsid w:val="00AC7251"/>
    <w:rsid w:val="00AD1872"/>
    <w:rsid w:val="00AD3E5F"/>
    <w:rsid w:val="00AE0F2E"/>
    <w:rsid w:val="00AE5B4A"/>
    <w:rsid w:val="00AE766D"/>
    <w:rsid w:val="00AF1B9D"/>
    <w:rsid w:val="00AF44D5"/>
    <w:rsid w:val="00B10B60"/>
    <w:rsid w:val="00B110F0"/>
    <w:rsid w:val="00B12036"/>
    <w:rsid w:val="00B22013"/>
    <w:rsid w:val="00B33B04"/>
    <w:rsid w:val="00B349E6"/>
    <w:rsid w:val="00B447D0"/>
    <w:rsid w:val="00B47BE4"/>
    <w:rsid w:val="00B71E31"/>
    <w:rsid w:val="00B7488D"/>
    <w:rsid w:val="00B75D4C"/>
    <w:rsid w:val="00B77102"/>
    <w:rsid w:val="00B83E5A"/>
    <w:rsid w:val="00BA52F1"/>
    <w:rsid w:val="00BB1411"/>
    <w:rsid w:val="00BB40E3"/>
    <w:rsid w:val="00BC1764"/>
    <w:rsid w:val="00BC1F6E"/>
    <w:rsid w:val="00BE7FB1"/>
    <w:rsid w:val="00BF63E1"/>
    <w:rsid w:val="00C003B4"/>
    <w:rsid w:val="00C00E73"/>
    <w:rsid w:val="00C2131F"/>
    <w:rsid w:val="00C21F09"/>
    <w:rsid w:val="00C24232"/>
    <w:rsid w:val="00C2540D"/>
    <w:rsid w:val="00C26DDA"/>
    <w:rsid w:val="00C270F2"/>
    <w:rsid w:val="00C33513"/>
    <w:rsid w:val="00C366D8"/>
    <w:rsid w:val="00C4200B"/>
    <w:rsid w:val="00C4305F"/>
    <w:rsid w:val="00C43BF6"/>
    <w:rsid w:val="00C5120E"/>
    <w:rsid w:val="00C57732"/>
    <w:rsid w:val="00C6385A"/>
    <w:rsid w:val="00C81F26"/>
    <w:rsid w:val="00C82FF1"/>
    <w:rsid w:val="00C877A1"/>
    <w:rsid w:val="00CA13DC"/>
    <w:rsid w:val="00CA5697"/>
    <w:rsid w:val="00CB0BB6"/>
    <w:rsid w:val="00CB5E9E"/>
    <w:rsid w:val="00CC2489"/>
    <w:rsid w:val="00CC35A5"/>
    <w:rsid w:val="00CD433C"/>
    <w:rsid w:val="00CE09D0"/>
    <w:rsid w:val="00CE2A06"/>
    <w:rsid w:val="00CF0447"/>
    <w:rsid w:val="00CF1E2F"/>
    <w:rsid w:val="00CF288C"/>
    <w:rsid w:val="00CF5528"/>
    <w:rsid w:val="00D02363"/>
    <w:rsid w:val="00D03530"/>
    <w:rsid w:val="00D03CCB"/>
    <w:rsid w:val="00D178EA"/>
    <w:rsid w:val="00D242DD"/>
    <w:rsid w:val="00D36923"/>
    <w:rsid w:val="00D424B0"/>
    <w:rsid w:val="00D4416C"/>
    <w:rsid w:val="00D53FD3"/>
    <w:rsid w:val="00D54249"/>
    <w:rsid w:val="00D5431D"/>
    <w:rsid w:val="00D734B3"/>
    <w:rsid w:val="00D8142B"/>
    <w:rsid w:val="00D83577"/>
    <w:rsid w:val="00D94371"/>
    <w:rsid w:val="00D96CCF"/>
    <w:rsid w:val="00DA2F65"/>
    <w:rsid w:val="00DA5564"/>
    <w:rsid w:val="00DA7949"/>
    <w:rsid w:val="00DE594D"/>
    <w:rsid w:val="00DF3521"/>
    <w:rsid w:val="00DF5116"/>
    <w:rsid w:val="00DF5E52"/>
    <w:rsid w:val="00E02FC4"/>
    <w:rsid w:val="00E124FC"/>
    <w:rsid w:val="00E126BB"/>
    <w:rsid w:val="00E25592"/>
    <w:rsid w:val="00E30A3F"/>
    <w:rsid w:val="00E33019"/>
    <w:rsid w:val="00E34D69"/>
    <w:rsid w:val="00E44D32"/>
    <w:rsid w:val="00E463ED"/>
    <w:rsid w:val="00E46BC2"/>
    <w:rsid w:val="00E53895"/>
    <w:rsid w:val="00E556E6"/>
    <w:rsid w:val="00E56B3D"/>
    <w:rsid w:val="00E613A6"/>
    <w:rsid w:val="00E64131"/>
    <w:rsid w:val="00E65909"/>
    <w:rsid w:val="00E7124A"/>
    <w:rsid w:val="00E7266F"/>
    <w:rsid w:val="00E73001"/>
    <w:rsid w:val="00E8513E"/>
    <w:rsid w:val="00E942CA"/>
    <w:rsid w:val="00EA19A0"/>
    <w:rsid w:val="00EA51DA"/>
    <w:rsid w:val="00EB446A"/>
    <w:rsid w:val="00EC1834"/>
    <w:rsid w:val="00EC1F0B"/>
    <w:rsid w:val="00ED4178"/>
    <w:rsid w:val="00ED562F"/>
    <w:rsid w:val="00ED6A74"/>
    <w:rsid w:val="00EE03B0"/>
    <w:rsid w:val="00EE65DB"/>
    <w:rsid w:val="00EF2B15"/>
    <w:rsid w:val="00EF6179"/>
    <w:rsid w:val="00EF71B7"/>
    <w:rsid w:val="00F00B3C"/>
    <w:rsid w:val="00F039EE"/>
    <w:rsid w:val="00F103F1"/>
    <w:rsid w:val="00F10DA3"/>
    <w:rsid w:val="00F144C8"/>
    <w:rsid w:val="00F228A7"/>
    <w:rsid w:val="00F53710"/>
    <w:rsid w:val="00F54D9E"/>
    <w:rsid w:val="00F57ADB"/>
    <w:rsid w:val="00F65093"/>
    <w:rsid w:val="00F7099F"/>
    <w:rsid w:val="00F71A12"/>
    <w:rsid w:val="00F71BEA"/>
    <w:rsid w:val="00F72C81"/>
    <w:rsid w:val="00F77067"/>
    <w:rsid w:val="00F866EF"/>
    <w:rsid w:val="00F87518"/>
    <w:rsid w:val="00F933E8"/>
    <w:rsid w:val="00F962D7"/>
    <w:rsid w:val="00FC58C4"/>
    <w:rsid w:val="00FD3886"/>
    <w:rsid w:val="00FE7BD1"/>
    <w:rsid w:val="00FF0D24"/>
    <w:rsid w:val="00FF5572"/>
    <w:rsid w:val="01907831"/>
    <w:rsid w:val="30E72AF1"/>
    <w:rsid w:val="42F81556"/>
    <w:rsid w:val="7A8B3B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link w:val="17"/>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link w:val="19"/>
    <w:qFormat/>
    <w:uiPriority w:val="0"/>
    <w:rPr>
      <w:rFonts w:ascii="宋体" w:hAnsi="Courier New" w:cs="Courier New"/>
      <w:szCs w:val="21"/>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Hyperlink"/>
    <w:unhideWhenUsed/>
    <w:qFormat/>
    <w:uiPriority w:val="99"/>
    <w:rPr>
      <w:color w:val="0000FF"/>
      <w:u w:val="single"/>
    </w:rPr>
  </w:style>
  <w:style w:type="paragraph" w:customStyle="1" w:styleId="12">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13">
    <w:name w:val="pp1"/>
    <w:basedOn w:val="10"/>
    <w:qFormat/>
    <w:uiPriority w:val="0"/>
  </w:style>
  <w:style w:type="character" w:customStyle="1" w:styleId="14">
    <w:name w:val="页眉 Char"/>
    <w:link w:val="7"/>
    <w:qFormat/>
    <w:uiPriority w:val="0"/>
    <w:rPr>
      <w:kern w:val="2"/>
      <w:sz w:val="18"/>
      <w:szCs w:val="18"/>
    </w:rPr>
  </w:style>
  <w:style w:type="character" w:customStyle="1" w:styleId="15">
    <w:name w:val="页脚 Char"/>
    <w:link w:val="6"/>
    <w:qFormat/>
    <w:uiPriority w:val="99"/>
    <w:rPr>
      <w:kern w:val="2"/>
      <w:sz w:val="18"/>
      <w:szCs w:val="18"/>
    </w:rPr>
  </w:style>
  <w:style w:type="character" w:customStyle="1" w:styleId="16">
    <w:name w:val="apple-style-span"/>
    <w:basedOn w:val="10"/>
    <w:qFormat/>
    <w:uiPriority w:val="0"/>
  </w:style>
  <w:style w:type="character" w:customStyle="1" w:styleId="17">
    <w:name w:val="正文文本 Char"/>
    <w:link w:val="3"/>
    <w:qFormat/>
    <w:uiPriority w:val="0"/>
    <w:rPr>
      <w:kern w:val="2"/>
      <w:sz w:val="21"/>
      <w:szCs w:val="24"/>
    </w:rPr>
  </w:style>
  <w:style w:type="paragraph" w:styleId="18">
    <w:name w:val="List Paragraph"/>
    <w:basedOn w:val="1"/>
    <w:qFormat/>
    <w:uiPriority w:val="34"/>
    <w:pPr>
      <w:ind w:firstLine="420" w:firstLineChars="200"/>
    </w:pPr>
  </w:style>
  <w:style w:type="character" w:customStyle="1" w:styleId="19">
    <w:name w:val="纯文本 Char"/>
    <w:basedOn w:val="10"/>
    <w:link w:val="5"/>
    <w:qFormat/>
    <w:uiPriority w:val="0"/>
    <w:rPr>
      <w:rFonts w:ascii="宋体" w:hAnsi="Courier New" w:cs="Courier New"/>
      <w:kern w:val="2"/>
      <w:sz w:val="21"/>
      <w:szCs w:val="21"/>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2592</Words>
  <Characters>2600</Characters>
  <Lines>19</Lines>
  <Paragraphs>5</Paragraphs>
  <TotalTime>0</TotalTime>
  <ScaleCrop>false</ScaleCrop>
  <LinksUpToDate>false</LinksUpToDate>
  <CharactersWithSpaces>2657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2021-09-26T01:19:00Z</dcterms:created>
  <dc:creator>微软用户</dc:creator>
  <cp:lastModifiedBy>钱曼</cp:lastModifiedBy>
  <cp:lastPrinted>2021-10-08T06:12:00Z</cp:lastPrinted>
  <dcterms:modified xsi:type="dcterms:W3CDTF">2026-04-24T06:59:00Z</dcterms:modified>
  <dc:title>“中国食品工业协会科学技术奖”奖励条例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57C7FE4F3F22414C8A47E74A01AA9242</vt:lpwstr>
  </property>
  <property fmtid="{D5CDD505-2E9C-101B-9397-08002B2CF9AE}" pid="4" name="KSOTemplateDocerSaveRecord">
    <vt:lpwstr>eyJoZGlkIjoiNDg2YmJlNGM0OGI2YTFkNzY2ZGM2NTZiYjY5OGNjYzkiLCJ1c2VySWQiOiI0NDQ2NDQ5MzgifQ==</vt:lpwstr>
  </property>
</Properties>
</file>