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820" w:type="dxa"/>
        <w:tblInd w:w="-55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1080"/>
        <w:gridCol w:w="4065"/>
        <w:gridCol w:w="990"/>
        <w:gridCol w:w="930"/>
        <w:gridCol w:w="4845"/>
        <w:gridCol w:w="1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表A.1  广东省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  <w:lang w:val="en-US" w:eastAsia="zh-CN"/>
              </w:rPr>
              <w:t>医药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行业名牌产品评价表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申报单位（盖章）：</w:t>
            </w:r>
          </w:p>
        </w:tc>
        <w:tc>
          <w:tcPr>
            <w:tcW w:w="7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申报产品名称：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1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评价项目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（分值）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评分标准（总分100分，加分10分）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评分区间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自评分</w:t>
            </w: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自评说明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专家评分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1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原辅料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所有原辅材料应符合《中国药典》和国家有关规定的要求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不符合则不予评定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□符 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□不符合</w:t>
            </w: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□符 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17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配方与工艺（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成份配伍辩证合理，作用机理科学，安全可靠性。（符合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分，有缺陷则提交评价组评议是否淘汰或酌情扣1-5分）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分/淘汰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217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工艺流程设计科学、合理，生产技术和设备先进，质量管理严格，已通过GMP等管理体系认证，产品质量水平高。（符合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分，有缺陷则提交评价组评议是否淘汰或酌情扣1-5分）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分/淘汰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109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效益情况（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市场占有率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定期开展产品顾客满意度和市场占有率调查，满意度高（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分）。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-10分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09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经济指标</w:t>
            </w:r>
          </w:p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销量大，销售收入高，且逐年递增，态势明显；利润高，酌情评16-20分；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销量较大，增长趋势明显减缓或基本持平，利润较明显，酌情评10-15分；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销量一般，出现下降趋势或近一年出现负增长，出现负利润，酌情评0-9分。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产品原销售情况较好，但因特殊情况暂时停工停产，造成销量下降，利润减少，可由评价组评议后评分（评10-16分）。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0-20分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9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社会效益情况（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06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有明显社会需求或临床应用多，酌情评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-10分。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93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9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</w:pPr>
          </w:p>
        </w:tc>
        <w:tc>
          <w:tcPr>
            <w:tcW w:w="108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</w:pPr>
          </w:p>
        </w:tc>
        <w:tc>
          <w:tcPr>
            <w:tcW w:w="406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17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市场宣传推广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（30分）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市场定位清晰，具有针对性的宣传广告投入和市场营销举措（15分），酌情评8-15分。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0-15分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7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06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产品具有一定的社会公认度和美誉度（15分），酌情评8-15分。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93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217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06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2" w:hRule="atLeast"/>
        </w:trPr>
        <w:tc>
          <w:tcPr>
            <w:tcW w:w="21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加分项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48分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1.声称使用道地、绿色、有机药材或其他具有优质属性的原辅料，提供相应佐证材料，可酌情加0-3分。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2.属自主创新产品，酌情加5-10分。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3.该产品填补国内空白，解决重大临床急需，可酌情再加5-10分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4.该产品相关工艺技术获得相关专利授权，国家、省、地级以上市、省级行业科学技术奖，或通过政府部门或省级行业协会组织的科技创新成果鉴定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可酌情加0-5分。</w:t>
            </w:r>
          </w:p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5.属国家级或省级非物质文化遗产项目相关产品，分别加10分、5分。</w:t>
            </w:r>
          </w:p>
          <w:p>
            <w:pPr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6产品商标获得驰名商标、省著名商标，或省级以上行业组织授予的其他品牌类荣誉等，可酌情加0-5分。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21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专家推荐意见</w:t>
            </w:r>
          </w:p>
        </w:tc>
        <w:tc>
          <w:tcPr>
            <w:tcW w:w="126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82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注：上表中各评价项目自评分和专家评分须以《广东省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医药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行业名牌产品申报表》填报内容或有效佐证资料为依据。若无佐证资料则相关评价项目或指标不得分。相关依据在“自评说明”栏简要说明：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a）属申报表内容的，说明该内容在申报表中页码，如申报表P3。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b）另附佐证材料的，则写明材料名称。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c）本表采用A3双面打印，一式两份。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82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82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p/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7871" w:firstLineChars="28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年   月   日</w:t>
      </w:r>
    </w:p>
    <w:sectPr>
      <w:pgSz w:w="16838" w:h="23811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E26"/>
    <w:rsid w:val="00000E26"/>
    <w:rsid w:val="0096573C"/>
    <w:rsid w:val="39507E6F"/>
    <w:rsid w:val="67CB445D"/>
    <w:rsid w:val="74B60F51"/>
    <w:rsid w:val="77C43FA0"/>
    <w:rsid w:val="77C5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1266</Words>
  <Characters>246</Characters>
  <Lines>2</Lines>
  <Paragraphs>3</Paragraphs>
  <TotalTime>337</TotalTime>
  <ScaleCrop>false</ScaleCrop>
  <LinksUpToDate>false</LinksUpToDate>
  <CharactersWithSpaces>1509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2021-10-13T02:09:00Z</dcterms:created>
  <dc:creator>Administrator</dc:creator>
  <cp:lastModifiedBy>Margaret</cp:lastModifiedBy>
  <dcterms:modified xsi:type="dcterms:W3CDTF">2022-02-21T05:46:24Z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AF83A91497BE4DE897C1D25CEE0A3BFD</vt:lpwstr>
  </property>
</Properties>
</file>